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7D" w:rsidRPr="00B70122" w:rsidRDefault="007B787D"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AB8855D" wp14:editId="33E0FE4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787D" w:rsidRPr="00A4011C" w:rsidRDefault="007B787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LPE/SOPDU/DCSCOP/039/2023</w:t>
                            </w:r>
                          </w:p>
                          <w:p w:rsidR="007B787D" w:rsidRPr="00A53170" w:rsidRDefault="007B787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7B787D" w:rsidRPr="002A3457" w:rsidRDefault="007B787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B787D" w:rsidRPr="00B70122" w:rsidRDefault="007B787D"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B787D" w:rsidRPr="00A4011C" w:rsidRDefault="007B787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LPE/SOPDU/DCSCOP/039/2023</w:t>
                      </w:r>
                    </w:p>
                    <w:p w:rsidR="007B787D" w:rsidRPr="00A53170" w:rsidRDefault="007B787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7B787D" w:rsidRPr="002A3457" w:rsidRDefault="007B787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B787D" w:rsidRPr="00B70122" w:rsidRDefault="007B787D" w:rsidP="00A4011C">
                      <w:pPr>
                        <w:rPr>
                          <w:rFonts w:ascii="Microsoft Yi Baiti" w:eastAsia="Microsoft Yi Baiti" w:hAnsi="Microsoft Yi Baiti"/>
                          <w:sz w:val="16"/>
                          <w:szCs w:val="16"/>
                        </w:rPr>
                      </w:pPr>
                    </w:p>
                  </w:txbxContent>
                </v:textbox>
                <w10:wrap anchorx="margin"/>
              </v:roundrect>
            </w:pict>
          </mc:Fallback>
        </mc:AlternateContent>
      </w:r>
    </w:p>
    <w:p w:rsidR="007B787D" w:rsidRPr="00B70122" w:rsidRDefault="007B787D" w:rsidP="00A4011C">
      <w:pPr>
        <w:autoSpaceDE w:val="0"/>
        <w:autoSpaceDN w:val="0"/>
        <w:adjustRightInd w:val="0"/>
        <w:jc w:val="both"/>
        <w:rPr>
          <w:rFonts w:ascii="Microsoft Yi Baiti" w:eastAsia="Microsoft Yi Baiti" w:hAnsi="Microsoft Yi Baiti" w:cs="Arial"/>
          <w:sz w:val="16"/>
          <w:szCs w:val="16"/>
        </w:rPr>
      </w:pPr>
    </w:p>
    <w:p w:rsidR="007B787D" w:rsidRPr="00B70122" w:rsidRDefault="007B787D" w:rsidP="00A4011C">
      <w:pPr>
        <w:autoSpaceDE w:val="0"/>
        <w:autoSpaceDN w:val="0"/>
        <w:adjustRightInd w:val="0"/>
        <w:jc w:val="both"/>
        <w:rPr>
          <w:rFonts w:ascii="Microsoft Yi Baiti" w:eastAsia="Microsoft Yi Baiti" w:hAnsi="Microsoft Yi Baiti" w:cs="Arial"/>
          <w:sz w:val="16"/>
          <w:szCs w:val="16"/>
        </w:rPr>
      </w:pPr>
    </w:p>
    <w:p w:rsidR="007B787D" w:rsidRPr="00B70122" w:rsidRDefault="007B787D" w:rsidP="00A4011C">
      <w:pPr>
        <w:autoSpaceDE w:val="0"/>
        <w:autoSpaceDN w:val="0"/>
        <w:adjustRightInd w:val="0"/>
        <w:jc w:val="both"/>
        <w:rPr>
          <w:rFonts w:ascii="Microsoft Yi Baiti" w:eastAsia="Microsoft Yi Baiti" w:hAnsi="Microsoft Yi Baiti" w:cs="Arial"/>
          <w:sz w:val="16"/>
          <w:szCs w:val="16"/>
        </w:rPr>
      </w:pPr>
    </w:p>
    <w:p w:rsidR="007B787D" w:rsidRPr="00B70122" w:rsidRDefault="007B787D" w:rsidP="00A4011C">
      <w:pPr>
        <w:autoSpaceDE w:val="0"/>
        <w:autoSpaceDN w:val="0"/>
        <w:adjustRightInd w:val="0"/>
        <w:jc w:val="both"/>
        <w:rPr>
          <w:rFonts w:ascii="Microsoft Yi Baiti" w:eastAsia="Microsoft Yi Baiti" w:hAnsi="Microsoft Yi Baiti" w:cs="Arial"/>
          <w:sz w:val="16"/>
          <w:szCs w:val="16"/>
        </w:rPr>
      </w:pPr>
    </w:p>
    <w:p w:rsidR="007B787D" w:rsidRDefault="007B787D" w:rsidP="00A4011C">
      <w:pPr>
        <w:rPr>
          <w:rFonts w:ascii="Microsoft Yi Baiti" w:eastAsia="Microsoft Yi Baiti" w:hAnsi="Microsoft Yi Baiti" w:cs="Arial"/>
          <w:sz w:val="16"/>
          <w:szCs w:val="16"/>
        </w:rPr>
      </w:pPr>
    </w:p>
    <w:p w:rsidR="007B787D" w:rsidRPr="002A3457" w:rsidRDefault="007B787D" w:rsidP="00A4011C">
      <w:pPr>
        <w:autoSpaceDE w:val="0"/>
        <w:autoSpaceDN w:val="0"/>
        <w:adjustRightInd w:val="0"/>
        <w:jc w:val="both"/>
        <w:rPr>
          <w:rFonts w:ascii="Microsoft Yi Baiti" w:eastAsia="Microsoft Yi Baiti" w:hAnsi="Microsoft Yi Baiti" w:cs="Arial"/>
          <w:sz w:val="12"/>
          <w:szCs w:val="18"/>
        </w:rPr>
      </w:pPr>
    </w:p>
    <w:p w:rsidR="007B787D" w:rsidRPr="00FD2112" w:rsidRDefault="007B787D"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13:15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LPE/SOPDU/DCSCOP/039/2023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rsidR="007B787D" w:rsidRDefault="007B787D" w:rsidP="00A4011C">
      <w:pPr>
        <w:jc w:val="both"/>
        <w:rPr>
          <w:rFonts w:ascii="Microsoft Yi Baiti" w:eastAsia="Microsoft Yi Baiti" w:hAnsi="Microsoft Yi Baiti"/>
          <w:sz w:val="20"/>
          <w:szCs w:val="20"/>
        </w:rPr>
      </w:pPr>
    </w:p>
    <w:p w:rsidR="007B787D" w:rsidRDefault="007B787D"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B787D" w:rsidRPr="006E7CC2" w:rsidTr="00B42F48">
        <w:tc>
          <w:tcPr>
            <w:tcW w:w="5817" w:type="dxa"/>
            <w:vAlign w:val="center"/>
          </w:tcPr>
          <w:p w:rsidR="007B787D" w:rsidRPr="006E7CC2" w:rsidRDefault="007B787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7B787D" w:rsidRPr="006E7CC2" w:rsidRDefault="007B787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B787D" w:rsidRPr="006E7CC2" w:rsidTr="00B42F48">
        <w:tc>
          <w:tcPr>
            <w:tcW w:w="5817" w:type="dxa"/>
            <w:vAlign w:val="center"/>
          </w:tcPr>
          <w:p w:rsidR="007B787D" w:rsidRPr="009721C7" w:rsidRDefault="007B787D"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Trabajos de rehabilitación y mantenimiento en el Mercado Público IV Centenario, Cabecera Municipal Centro Histórico Oaxaca de Juárez calle Independencia.</w:t>
            </w:r>
            <w:r>
              <w:rPr>
                <w:rFonts w:ascii="Microsoft Yi Baiti" w:eastAsia="Microsoft Yi Baiti" w:hAnsi="Microsoft Yi Baiti"/>
                <w:b/>
                <w:color w:val="0000CC"/>
                <w:sz w:val="20"/>
                <w:szCs w:val="18"/>
              </w:rPr>
              <w:t xml:space="preserve"> </w:t>
            </w:r>
          </w:p>
        </w:tc>
        <w:tc>
          <w:tcPr>
            <w:tcW w:w="3011" w:type="dxa"/>
            <w:vAlign w:val="center"/>
          </w:tcPr>
          <w:p w:rsidR="007B787D" w:rsidRPr="006E7CC2" w:rsidRDefault="007B787D"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7B787D" w:rsidRPr="006E7CC2" w:rsidRDefault="007B787D"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7B787D" w:rsidRDefault="007B787D" w:rsidP="00A4011C">
      <w:pPr>
        <w:rPr>
          <w:rFonts w:ascii="Microsoft Yi Baiti" w:eastAsia="Microsoft Yi Baiti" w:hAnsi="Microsoft Yi Baiti"/>
          <w:sz w:val="20"/>
          <w:szCs w:val="20"/>
        </w:rPr>
      </w:pPr>
    </w:p>
    <w:p w:rsidR="007B787D" w:rsidRDefault="007B787D"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(INSERTAR NOMBRE)</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rsidR="007B787D" w:rsidRDefault="007B787D" w:rsidP="00A4011C">
      <w:pPr>
        <w:jc w:val="both"/>
        <w:rPr>
          <w:rFonts w:ascii="Microsoft Yi Baiti" w:eastAsia="Microsoft Yi Baiti" w:hAnsi="Microsoft Yi Baiti"/>
          <w:iCs/>
          <w:sz w:val="20"/>
          <w:szCs w:val="20"/>
        </w:rPr>
      </w:pPr>
    </w:p>
    <w:p w:rsidR="007B787D" w:rsidRDefault="007B787D"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rsidR="007B787D" w:rsidRDefault="007B787D" w:rsidP="00A4011C">
      <w:pPr>
        <w:jc w:val="both"/>
        <w:rPr>
          <w:rFonts w:ascii="Microsoft Yi Baiti" w:eastAsia="Microsoft Yi Baiti" w:hAnsi="Microsoft Yi Baiti" w:cs="Arial"/>
          <w:sz w:val="20"/>
          <w:szCs w:val="20"/>
        </w:rPr>
      </w:pPr>
    </w:p>
    <w:p w:rsidR="007B787D" w:rsidRPr="00FD2112" w:rsidRDefault="007B787D"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 propuesta</w:t>
      </w:r>
      <w:r>
        <w:rPr>
          <w:rFonts w:ascii="Microsoft Yi Baiti" w:eastAsia="Microsoft Yi Baiti" w:hAnsi="Microsoft Yi Baiti" w:cs="Arial"/>
          <w:sz w:val="20"/>
          <w:szCs w:val="20"/>
        </w:rPr>
        <w:t xml:space="preserve"> </w:t>
      </w:r>
      <w:r w:rsidRPr="00A43B20">
        <w:rPr>
          <w:rFonts w:ascii="Microsoft Yi Baiti" w:eastAsia="Microsoft Yi Baiti" w:hAnsi="Microsoft Yi Baiti" w:cs="Arial" w:hint="eastAsia"/>
          <w:sz w:val="20"/>
          <w:szCs w:val="20"/>
        </w:rPr>
        <w:t xml:space="preserve">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rsidR="007B787D" w:rsidRDefault="007B787D" w:rsidP="00A4011C">
      <w:pPr>
        <w:rPr>
          <w:rFonts w:ascii="Microsoft Yi Baiti" w:eastAsia="Microsoft Yi Baiti" w:hAnsi="Microsoft Yi Baiti"/>
          <w:sz w:val="20"/>
          <w:szCs w:val="20"/>
        </w:rPr>
      </w:pPr>
    </w:p>
    <w:p w:rsidR="007B787D" w:rsidRDefault="007B787D" w:rsidP="00A4011C">
      <w:pPr>
        <w:rPr>
          <w:rFonts w:ascii="Microsoft Yi Baiti" w:eastAsia="Microsoft Yi Baiti" w:hAnsi="Microsoft Yi Baiti"/>
          <w:sz w:val="20"/>
          <w:szCs w:val="20"/>
        </w:rPr>
      </w:pPr>
    </w:p>
    <w:p w:rsidR="007B787D" w:rsidRDefault="007B787D"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B787D" w:rsidRPr="00A74DCB" w:rsidTr="00B42F48">
        <w:trPr>
          <w:trHeight w:hRule="exact" w:val="284"/>
        </w:trPr>
        <w:tc>
          <w:tcPr>
            <w:tcW w:w="529" w:type="dxa"/>
            <w:shd w:val="clear" w:color="auto" w:fill="auto"/>
            <w:vAlign w:val="center"/>
          </w:tcPr>
          <w:p w:rsidR="007B787D" w:rsidRPr="00FD2112" w:rsidRDefault="007B787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rsidR="007B787D" w:rsidRPr="00FD2112" w:rsidRDefault="007B787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7B787D" w:rsidRPr="00FD2112" w:rsidRDefault="007B787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7B787D" w:rsidRPr="00A74DCB" w:rsidTr="00B42F48">
        <w:trPr>
          <w:trHeight w:val="414"/>
        </w:trPr>
        <w:tc>
          <w:tcPr>
            <w:tcW w:w="529" w:type="dxa"/>
            <w:shd w:val="clear" w:color="auto" w:fill="auto"/>
            <w:vAlign w:val="center"/>
          </w:tcPr>
          <w:p w:rsidR="007B787D" w:rsidRPr="00FD2112" w:rsidRDefault="007B787D"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7B787D" w:rsidRPr="00FD2112" w:rsidRDefault="007B787D"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rsidR="007B787D" w:rsidRPr="00B42F48" w:rsidRDefault="007B787D"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rsidR="007B787D" w:rsidRPr="00951F8D" w:rsidRDefault="007B787D" w:rsidP="00A4011C">
      <w:pPr>
        <w:rPr>
          <w:rFonts w:ascii="Microsoft Yi Baiti" w:eastAsia="Microsoft Yi Baiti" w:hAnsi="Microsoft Yi Baiti"/>
          <w:sz w:val="20"/>
          <w:szCs w:val="20"/>
        </w:rPr>
      </w:pPr>
    </w:p>
    <w:p w:rsidR="007B787D" w:rsidRPr="009A0555" w:rsidRDefault="007B787D"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rsidR="007B787D" w:rsidRPr="00B805E7" w:rsidRDefault="007B787D" w:rsidP="00A4011C">
      <w:pPr>
        <w:spacing w:line="276" w:lineRule="auto"/>
        <w:ind w:right="49"/>
        <w:jc w:val="both"/>
        <w:rPr>
          <w:rFonts w:ascii="Microsoft Yi Baiti" w:eastAsia="Microsoft Yi Baiti" w:hAnsi="Microsoft Yi Baiti" w:cs="Calibri"/>
          <w:sz w:val="20"/>
          <w:szCs w:val="20"/>
          <w:highlight w:val="yellow"/>
        </w:rPr>
      </w:pPr>
    </w:p>
    <w:p w:rsidR="007B787D" w:rsidRPr="004B40EA" w:rsidRDefault="007B787D"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13:20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rsidR="007B787D" w:rsidRDefault="007B787D" w:rsidP="00A4011C">
      <w:pPr>
        <w:jc w:val="both"/>
        <w:rPr>
          <w:rFonts w:ascii="Microsoft Yi Baiti" w:eastAsia="Microsoft Yi Baiti" w:hAnsi="Microsoft Yi Baiti"/>
          <w:sz w:val="20"/>
          <w:szCs w:val="20"/>
        </w:rPr>
      </w:pPr>
    </w:p>
    <w:p w:rsidR="007B787D" w:rsidRPr="00450784" w:rsidRDefault="007B787D"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B787D" w:rsidRPr="00450784" w:rsidTr="00B42F48">
        <w:trPr>
          <w:trHeight w:hRule="exact" w:val="420"/>
        </w:trPr>
        <w:tc>
          <w:tcPr>
            <w:tcW w:w="426" w:type="dxa"/>
            <w:shd w:val="clear" w:color="auto" w:fill="auto"/>
            <w:vAlign w:val="center"/>
          </w:tcPr>
          <w:p w:rsidR="007B787D" w:rsidRPr="00450784" w:rsidRDefault="007B78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7B787D" w:rsidRPr="00450784" w:rsidRDefault="007B78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7B787D" w:rsidRPr="00450784" w:rsidRDefault="007B78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7B787D" w:rsidRPr="00450784" w:rsidRDefault="007B78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B787D" w:rsidRPr="00450784" w:rsidTr="00B42F48">
        <w:trPr>
          <w:trHeight w:val="469"/>
        </w:trPr>
        <w:tc>
          <w:tcPr>
            <w:tcW w:w="426" w:type="dxa"/>
            <w:shd w:val="clear" w:color="auto" w:fill="auto"/>
            <w:vAlign w:val="center"/>
          </w:tcPr>
          <w:p w:rsidR="007B787D" w:rsidRPr="00450784" w:rsidRDefault="007B787D"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7B787D" w:rsidRPr="00450784" w:rsidRDefault="007B787D"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rsidR="007B787D" w:rsidRPr="00450784" w:rsidRDefault="007B787D" w:rsidP="00B42F48">
            <w:pPr>
              <w:jc w:val="center"/>
              <w:rPr>
                <w:rFonts w:ascii="Microsoft Yi Baiti" w:eastAsia="Microsoft Yi Baiti" w:hAnsi="Microsoft Yi Baiti" w:cs="Arial"/>
                <w:sz w:val="20"/>
                <w:szCs w:val="20"/>
              </w:rPr>
            </w:pPr>
          </w:p>
        </w:tc>
        <w:tc>
          <w:tcPr>
            <w:tcW w:w="1985" w:type="dxa"/>
            <w:shd w:val="clear" w:color="auto" w:fill="auto"/>
            <w:vAlign w:val="center"/>
          </w:tcPr>
          <w:p w:rsidR="007B787D" w:rsidRPr="00450784" w:rsidRDefault="007B787D" w:rsidP="00B42F48">
            <w:pPr>
              <w:jc w:val="center"/>
              <w:rPr>
                <w:rFonts w:ascii="Microsoft Yi Baiti" w:eastAsia="Microsoft Yi Baiti" w:hAnsi="Microsoft Yi Baiti" w:cs="Arial"/>
                <w:b/>
                <w:sz w:val="20"/>
                <w:szCs w:val="20"/>
              </w:rPr>
            </w:pPr>
          </w:p>
        </w:tc>
      </w:tr>
    </w:tbl>
    <w:p w:rsidR="007B787D" w:rsidRPr="006E7CC2" w:rsidRDefault="007B787D" w:rsidP="004B40EA">
      <w:pPr>
        <w:jc w:val="both"/>
        <w:rPr>
          <w:rFonts w:ascii="Microsoft Yi Baiti" w:eastAsia="Microsoft Yi Baiti" w:hAnsi="Microsoft Yi Baiti" w:cs="Arial"/>
          <w:b/>
          <w:sz w:val="20"/>
          <w:szCs w:val="18"/>
        </w:rPr>
      </w:pPr>
    </w:p>
    <w:p w:rsidR="007B787D" w:rsidRDefault="007B787D"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rsidR="007B787D" w:rsidRDefault="007B787D" w:rsidP="00A4011C">
      <w:pPr>
        <w:jc w:val="both"/>
        <w:rPr>
          <w:rFonts w:ascii="Microsoft Yi Baiti" w:eastAsia="Microsoft Yi Baiti" w:hAnsi="Microsoft Yi Baiti" w:cs="Arial"/>
          <w:sz w:val="20"/>
          <w:szCs w:val="20"/>
        </w:rPr>
      </w:pPr>
    </w:p>
    <w:p w:rsidR="007B787D" w:rsidRDefault="007B787D" w:rsidP="00A4011C">
      <w:pPr>
        <w:jc w:val="center"/>
        <w:rPr>
          <w:rFonts w:ascii="Microsoft Yi Baiti" w:eastAsia="Microsoft Yi Baiti" w:hAnsi="Microsoft Yi Baiti" w:cs="Arial"/>
          <w:b/>
          <w:sz w:val="20"/>
          <w:szCs w:val="20"/>
        </w:rPr>
      </w:pPr>
    </w:p>
    <w:p w:rsidR="007B787D" w:rsidRPr="006E7CC2" w:rsidRDefault="007B787D"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7B787D" w:rsidRPr="006E7CC2" w:rsidRDefault="007B787D"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B787D" w:rsidRPr="006E7CC2" w:rsidTr="00B42F48">
        <w:trPr>
          <w:trHeight w:hRule="exact" w:val="284"/>
        </w:trPr>
        <w:tc>
          <w:tcPr>
            <w:tcW w:w="3085" w:type="dxa"/>
            <w:shd w:val="clear" w:color="auto" w:fill="auto"/>
            <w:vAlign w:val="center"/>
          </w:tcPr>
          <w:p w:rsidR="007B787D" w:rsidRPr="006E7CC2" w:rsidRDefault="007B787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7B787D" w:rsidRPr="006E7CC2" w:rsidRDefault="007B787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7B787D" w:rsidRPr="006E7CC2" w:rsidRDefault="007B787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B787D" w:rsidRPr="006E7CC2" w:rsidTr="00B42F48">
        <w:trPr>
          <w:trHeight w:hRule="exact" w:val="680"/>
        </w:trPr>
        <w:tc>
          <w:tcPr>
            <w:tcW w:w="3085" w:type="dxa"/>
            <w:shd w:val="clear" w:color="auto" w:fill="auto"/>
            <w:vAlign w:val="center"/>
          </w:tcPr>
          <w:p w:rsidR="007B787D" w:rsidRPr="006E7CC2" w:rsidRDefault="007B787D"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7B787D" w:rsidRPr="006E7CC2" w:rsidRDefault="007B787D"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7B787D" w:rsidRPr="006E7CC2" w:rsidRDefault="007B787D" w:rsidP="00B42F48">
            <w:pPr>
              <w:jc w:val="center"/>
              <w:rPr>
                <w:rFonts w:ascii="Microsoft Yi Baiti" w:eastAsia="Microsoft Yi Baiti" w:hAnsi="Microsoft Yi Baiti" w:cs="Arial"/>
                <w:b/>
                <w:sz w:val="20"/>
                <w:szCs w:val="20"/>
              </w:rPr>
            </w:pPr>
          </w:p>
        </w:tc>
      </w:tr>
    </w:tbl>
    <w:p w:rsidR="007B787D" w:rsidRDefault="007B787D" w:rsidP="00A4011C">
      <w:pPr>
        <w:jc w:val="both"/>
        <w:rPr>
          <w:rFonts w:ascii="Microsoft Yi Baiti" w:eastAsia="Microsoft Yi Baiti" w:hAnsi="Microsoft Yi Baiti"/>
          <w:sz w:val="12"/>
          <w:szCs w:val="12"/>
        </w:rPr>
      </w:pPr>
    </w:p>
    <w:p w:rsidR="007B787D" w:rsidRDefault="007B787D" w:rsidP="00A4011C">
      <w:pPr>
        <w:jc w:val="both"/>
        <w:rPr>
          <w:rFonts w:ascii="Microsoft Yi Baiti" w:eastAsia="Microsoft Yi Baiti" w:hAnsi="Microsoft Yi Baiti"/>
          <w:sz w:val="12"/>
          <w:szCs w:val="12"/>
        </w:rPr>
      </w:pPr>
    </w:p>
    <w:p w:rsidR="007B787D" w:rsidRDefault="007B787D" w:rsidP="00A4011C">
      <w:pPr>
        <w:jc w:val="both"/>
        <w:rPr>
          <w:rFonts w:ascii="Microsoft Yi Baiti" w:eastAsia="Microsoft Yi Baiti" w:hAnsi="Microsoft Yi Baiti"/>
          <w:sz w:val="12"/>
          <w:szCs w:val="12"/>
        </w:rPr>
      </w:pPr>
    </w:p>
    <w:p w:rsidR="007B787D" w:rsidRDefault="007B787D" w:rsidP="00A4011C">
      <w:pPr>
        <w:jc w:val="both"/>
        <w:rPr>
          <w:rFonts w:ascii="Microsoft Yi Baiti" w:eastAsia="Microsoft Yi Baiti" w:hAnsi="Microsoft Yi Baiti"/>
          <w:sz w:val="12"/>
          <w:szCs w:val="12"/>
        </w:rPr>
      </w:pPr>
    </w:p>
    <w:p w:rsidR="007B787D" w:rsidRDefault="007B787D" w:rsidP="00A4011C">
      <w:pPr>
        <w:jc w:val="both"/>
        <w:rPr>
          <w:rFonts w:ascii="Microsoft Yi Baiti" w:eastAsia="Microsoft Yi Baiti" w:hAnsi="Microsoft Yi Baiti"/>
          <w:sz w:val="12"/>
          <w:szCs w:val="12"/>
        </w:rPr>
      </w:pPr>
    </w:p>
    <w:p w:rsidR="007B787D" w:rsidRPr="007B787D" w:rsidRDefault="007B787D" w:rsidP="007B787D">
      <w:pPr>
        <w:jc w:val="both"/>
        <w:rPr>
          <w:rFonts w:ascii="Microsoft Yi Baiti" w:eastAsia="Microsoft Yi Baiti" w:hAnsi="Microsoft Yi Baiti"/>
          <w:sz w:val="12"/>
          <w:szCs w:val="12"/>
        </w:rPr>
        <w:sectPr w:rsidR="007B787D" w:rsidRPr="007B787D" w:rsidSect="007B787D">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bookmarkStart w:id="0" w:name="_GoBack"/>
      <w:bookmarkEnd w:id="0"/>
      <w:r w:rsidRPr="00992B80">
        <w:rPr>
          <w:rFonts w:ascii="Microsoft Yi Baiti" w:eastAsia="Microsoft Yi Baiti" w:hAnsi="Microsoft Yi Baiti"/>
          <w:b/>
          <w:noProof/>
          <w:color w:val="0000CC"/>
          <w:sz w:val="12"/>
          <w:szCs w:val="12"/>
        </w:rPr>
        <w:t>LPE/SOPDU/DCSCOP/039/2023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w:t>
      </w:r>
      <w:r w:rsidRPr="001E55C8">
        <w:rPr>
          <w:rFonts w:ascii="Microsoft Yi Baiti" w:eastAsia="Microsoft Yi Baiti" w:hAnsi="Microsoft Yi Baiti"/>
          <w:sz w:val="12"/>
          <w:szCs w:val="12"/>
        </w:rPr>
        <w:t>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Trabajos de rehabilitación y mantenimiento en el Mercado Público IV Centenario, Cabecera Municipal Centro Histórico Oaxac</w:t>
      </w:r>
      <w:r>
        <w:rPr>
          <w:rFonts w:ascii="Microsoft Yi Baiti" w:eastAsia="Microsoft Yi Baiti" w:hAnsi="Microsoft Yi Baiti"/>
          <w:b/>
          <w:noProof/>
          <w:color w:val="0000CC"/>
          <w:sz w:val="12"/>
          <w:szCs w:val="12"/>
        </w:rPr>
        <w:t>a de Juárez calle Independencia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rsidR="007B787D" w:rsidRDefault="007B787D"/>
    <w:sectPr w:rsidR="007B787D" w:rsidSect="007B787D">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7D" w:rsidRDefault="007B787D">
      <w:r>
        <w:separator/>
      </w:r>
    </w:p>
  </w:endnote>
  <w:endnote w:type="continuationSeparator" w:id="0">
    <w:p w:rsidR="007B787D" w:rsidRDefault="007B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7D" w:rsidRPr="00DC327C" w:rsidRDefault="007B787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B787D" w:rsidRPr="008852C3" w:rsidRDefault="007B787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B787D" w:rsidRPr="008852C3" w:rsidRDefault="007B787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7B787D" w:rsidRPr="008852C3" w:rsidRDefault="007B787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B787D" w:rsidRPr="008852C3" w:rsidRDefault="007B787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B787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B787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7B787D" w:rsidRDefault="007B78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8B" w:rsidRPr="00DC327C" w:rsidRDefault="006A6E8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B787D" w:rsidRPr="007B787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B787D" w:rsidRPr="007B787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6A6E8B" w:rsidRDefault="006A6E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7D" w:rsidRDefault="007B787D">
      <w:r>
        <w:separator/>
      </w:r>
    </w:p>
  </w:footnote>
  <w:footnote w:type="continuationSeparator" w:id="0">
    <w:p w:rsidR="007B787D" w:rsidRDefault="007B7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7D" w:rsidRDefault="007B787D">
    <w:pPr>
      <w:pStyle w:val="Encabezado"/>
    </w:pPr>
    <w:r>
      <w:rPr>
        <w:noProof/>
        <w:lang w:eastAsia="es-MX"/>
      </w:rPr>
      <w:drawing>
        <wp:anchor distT="0" distB="0" distL="114300" distR="114300" simplePos="0" relativeHeight="251662336"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8B" w:rsidRDefault="006A6E8B">
    <w:pPr>
      <w:pStyle w:val="Encabezado"/>
    </w:pPr>
    <w:r>
      <w:rPr>
        <w:noProof/>
        <w:lang w:eastAsia="es-MX"/>
      </w:rPr>
      <w:drawing>
        <wp:anchor distT="0" distB="0" distL="114300" distR="114300" simplePos="0" relativeHeight="251659264"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abstractNumId w:val="8"/>
  </w:num>
  <w:num w:numId="2">
    <w:abstractNumId w:val="9"/>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C"/>
    <w:rsid w:val="0005048F"/>
    <w:rsid w:val="000845E1"/>
    <w:rsid w:val="00101F02"/>
    <w:rsid w:val="00216650"/>
    <w:rsid w:val="002E1D28"/>
    <w:rsid w:val="003336EA"/>
    <w:rsid w:val="00475A36"/>
    <w:rsid w:val="004B029F"/>
    <w:rsid w:val="004B3215"/>
    <w:rsid w:val="004B40EA"/>
    <w:rsid w:val="00565637"/>
    <w:rsid w:val="006A6E8B"/>
    <w:rsid w:val="006F2065"/>
    <w:rsid w:val="00701DEA"/>
    <w:rsid w:val="007B787D"/>
    <w:rsid w:val="00800416"/>
    <w:rsid w:val="0087543A"/>
    <w:rsid w:val="008F1C0E"/>
    <w:rsid w:val="009721C7"/>
    <w:rsid w:val="00977ECA"/>
    <w:rsid w:val="00A3077C"/>
    <w:rsid w:val="00A4011C"/>
    <w:rsid w:val="00AA1669"/>
    <w:rsid w:val="00AF1556"/>
    <w:rsid w:val="00B354F4"/>
    <w:rsid w:val="00B42F48"/>
    <w:rsid w:val="00B71ACC"/>
    <w:rsid w:val="00B805E7"/>
    <w:rsid w:val="00C65C23"/>
    <w:rsid w:val="00CE575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962A"/>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32F2-6438-460D-A701-2A8B4620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2023-12-01T03:23:00Z</dcterms:created>
  <dcterms:modified xsi:type="dcterms:W3CDTF">2023-12-01T03:25:00Z</dcterms:modified>
</cp:coreProperties>
</file>