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C2A0" w14:textId="77777777" w:rsidR="007910D1" w:rsidRPr="00726EF9" w:rsidRDefault="007910D1"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166C9673" wp14:editId="5ED47040">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28BC77" w14:textId="77777777" w:rsidR="007910D1" w:rsidRPr="001972EB" w:rsidRDefault="007910D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LPE/SOPDU/DCSCOP/016/2025</w:t>
                            </w:r>
                          </w:p>
                          <w:p w14:paraId="07D32B67" w14:textId="77777777" w:rsidR="007910D1" w:rsidRDefault="007910D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4B34BFCC" w14:textId="77777777" w:rsidR="007910D1" w:rsidRPr="00D66B3C" w:rsidRDefault="007910D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6C9673"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7A28BC77" w14:textId="77777777" w:rsidR="007910D1" w:rsidRPr="001972EB" w:rsidRDefault="007910D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LPE/SOPDU/DCSCOP/016/2025</w:t>
                      </w:r>
                    </w:p>
                    <w:p w14:paraId="07D32B67" w14:textId="77777777" w:rsidR="007910D1" w:rsidRDefault="007910D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4B34BFCC" w14:textId="77777777" w:rsidR="007910D1" w:rsidRPr="00D66B3C" w:rsidRDefault="007910D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17A63AB6" w14:textId="77777777" w:rsidR="007910D1" w:rsidRPr="00726EF9" w:rsidRDefault="007910D1" w:rsidP="003E59D8">
      <w:pPr>
        <w:autoSpaceDE w:val="0"/>
        <w:autoSpaceDN w:val="0"/>
        <w:adjustRightInd w:val="0"/>
        <w:jc w:val="both"/>
        <w:rPr>
          <w:rFonts w:ascii="Century Gothic" w:eastAsia="Microsoft Yi Baiti" w:hAnsi="Century Gothic" w:cs="Arial"/>
          <w:sz w:val="16"/>
          <w:szCs w:val="16"/>
        </w:rPr>
      </w:pPr>
    </w:p>
    <w:p w14:paraId="5F270FA3" w14:textId="77777777" w:rsidR="007910D1" w:rsidRPr="00726EF9" w:rsidRDefault="007910D1" w:rsidP="003E59D8">
      <w:pPr>
        <w:autoSpaceDE w:val="0"/>
        <w:autoSpaceDN w:val="0"/>
        <w:adjustRightInd w:val="0"/>
        <w:jc w:val="both"/>
        <w:rPr>
          <w:rFonts w:ascii="Century Gothic" w:eastAsia="Microsoft Yi Baiti" w:hAnsi="Century Gothic" w:cs="Arial"/>
          <w:sz w:val="16"/>
          <w:szCs w:val="16"/>
        </w:rPr>
      </w:pPr>
    </w:p>
    <w:p w14:paraId="788FD0E7" w14:textId="77777777" w:rsidR="007910D1" w:rsidRPr="00726EF9" w:rsidRDefault="007910D1" w:rsidP="003E59D8">
      <w:pPr>
        <w:autoSpaceDE w:val="0"/>
        <w:autoSpaceDN w:val="0"/>
        <w:adjustRightInd w:val="0"/>
        <w:jc w:val="both"/>
        <w:rPr>
          <w:rFonts w:ascii="Century Gothic" w:eastAsia="Microsoft Yi Baiti" w:hAnsi="Century Gothic" w:cs="Arial"/>
          <w:sz w:val="16"/>
          <w:szCs w:val="16"/>
        </w:rPr>
      </w:pPr>
    </w:p>
    <w:p w14:paraId="404E3550" w14:textId="77777777" w:rsidR="007910D1" w:rsidRPr="00726EF9" w:rsidRDefault="007910D1" w:rsidP="003E59D8">
      <w:pPr>
        <w:autoSpaceDE w:val="0"/>
        <w:autoSpaceDN w:val="0"/>
        <w:adjustRightInd w:val="0"/>
        <w:jc w:val="both"/>
        <w:rPr>
          <w:rFonts w:ascii="Century Gothic" w:eastAsia="Microsoft Yi Baiti" w:hAnsi="Century Gothic" w:cs="Arial"/>
          <w:sz w:val="16"/>
          <w:szCs w:val="16"/>
        </w:rPr>
      </w:pPr>
    </w:p>
    <w:p w14:paraId="13602099" w14:textId="77777777" w:rsidR="007910D1" w:rsidRPr="00726EF9" w:rsidRDefault="007910D1"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13:00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28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LPE/SOPDU/DCSCOP/016/2025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69CF3B96" w14:textId="77777777" w:rsidR="007910D1" w:rsidRPr="00726EF9" w:rsidRDefault="007910D1"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7910D1" w:rsidRPr="00726EF9" w14:paraId="34A75A18" w14:textId="77777777" w:rsidTr="002E2D0D">
        <w:tc>
          <w:tcPr>
            <w:tcW w:w="5642" w:type="dxa"/>
            <w:shd w:val="clear" w:color="auto" w:fill="auto"/>
            <w:vAlign w:val="center"/>
          </w:tcPr>
          <w:p w14:paraId="4E2DD790" w14:textId="77777777" w:rsidR="007910D1" w:rsidRPr="00726EF9" w:rsidRDefault="007910D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4FB382A2" w14:textId="77777777" w:rsidR="007910D1" w:rsidRPr="00726EF9" w:rsidRDefault="007910D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7910D1" w:rsidRPr="00726EF9" w14:paraId="040BD541" w14:textId="77777777" w:rsidTr="002E2D0D">
        <w:tc>
          <w:tcPr>
            <w:tcW w:w="5642" w:type="dxa"/>
            <w:shd w:val="clear" w:color="auto" w:fill="auto"/>
            <w:vAlign w:val="center"/>
          </w:tcPr>
          <w:p w14:paraId="13380B03" w14:textId="77777777" w:rsidR="007910D1" w:rsidRPr="00726EF9" w:rsidRDefault="007910D1"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TECHADO EN ESCUELA TELESECUNDARIA CON CLAVE DE CENTRO DE TRABAJO 20DTV0424P UBICADA EN AGENCIA MUNICIPAL DE TRINIDAD DE VIGUERA, MUNICIPIO DE OAXACA DE JUÁREZ, OAXACA.</w:t>
            </w:r>
          </w:p>
        </w:tc>
        <w:tc>
          <w:tcPr>
            <w:tcW w:w="3186" w:type="dxa"/>
            <w:shd w:val="clear" w:color="auto" w:fill="auto"/>
            <w:vAlign w:val="center"/>
          </w:tcPr>
          <w:p w14:paraId="680B1FB8" w14:textId="77777777" w:rsidR="007910D1" w:rsidRPr="00726EF9" w:rsidRDefault="007910D1"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0DCCC770" w14:textId="77777777" w:rsidR="007910D1" w:rsidRPr="00726EF9" w:rsidRDefault="007910D1"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5500CF9E" w14:textId="77777777" w:rsidR="007910D1" w:rsidRPr="00726EF9" w:rsidRDefault="007910D1" w:rsidP="003E59D8">
      <w:pPr>
        <w:jc w:val="both"/>
        <w:rPr>
          <w:rFonts w:ascii="Century Gothic" w:eastAsia="Microsoft Yi Baiti" w:hAnsi="Century Gothic"/>
          <w:sz w:val="16"/>
          <w:szCs w:val="16"/>
        </w:rPr>
      </w:pPr>
    </w:p>
    <w:p w14:paraId="1B29B24C" w14:textId="21E3A15A" w:rsidR="007910D1" w:rsidRPr="00726EF9" w:rsidRDefault="007910D1"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bookmarkStart w:id="0" w:name="_Hlk214975168"/>
      <w:r w:rsidR="002132E8">
        <w:rPr>
          <w:rFonts w:ascii="Century Gothic" w:eastAsia="Century Gothic" w:hAnsi="Century Gothic" w:cs="Century Gothic"/>
          <w:b/>
          <w:color w:val="0000FF"/>
          <w:sz w:val="16"/>
          <w:szCs w:val="16"/>
        </w:rPr>
        <w:t xml:space="preserve">Ing. Geovanni Díaz </w:t>
      </w:r>
      <w:proofErr w:type="spellStart"/>
      <w:r w:rsidR="002132E8">
        <w:rPr>
          <w:rFonts w:ascii="Century Gothic" w:eastAsia="Century Gothic" w:hAnsi="Century Gothic" w:cs="Century Gothic"/>
          <w:b/>
          <w:color w:val="0000FF"/>
          <w:sz w:val="16"/>
          <w:szCs w:val="16"/>
        </w:rPr>
        <w:t>Aldeco</w:t>
      </w:r>
      <w:proofErr w:type="spellEnd"/>
      <w:r w:rsidR="002132E8">
        <w:rPr>
          <w:rFonts w:ascii="Century Gothic" w:eastAsia="Century Gothic" w:hAnsi="Century Gothic" w:cs="Century Gothic"/>
          <w:b/>
          <w:color w:val="0000FF"/>
          <w:sz w:val="16"/>
          <w:szCs w:val="16"/>
        </w:rPr>
        <w:t xml:space="preserve"> Olivera</w:t>
      </w:r>
      <w:r w:rsidR="002132E8">
        <w:rPr>
          <w:rFonts w:ascii="Century Gothic" w:eastAsia="Century Gothic" w:hAnsi="Century Gothic" w:cs="Century Gothic"/>
          <w:sz w:val="16"/>
          <w:szCs w:val="16"/>
        </w:rPr>
        <w:t xml:space="preserve">, </w:t>
      </w:r>
      <w:proofErr w:type="gramStart"/>
      <w:r w:rsidR="002132E8">
        <w:rPr>
          <w:rFonts w:ascii="Century Gothic" w:eastAsia="Century Gothic" w:hAnsi="Century Gothic" w:cs="Century Gothic"/>
          <w:sz w:val="16"/>
          <w:szCs w:val="16"/>
        </w:rPr>
        <w:t>Director</w:t>
      </w:r>
      <w:proofErr w:type="gramEnd"/>
      <w:r w:rsidR="002132E8">
        <w:rPr>
          <w:rFonts w:ascii="Century Gothic" w:eastAsia="Century Gothic" w:hAnsi="Century Gothic" w:cs="Century Gothic"/>
          <w:sz w:val="16"/>
          <w:szCs w:val="16"/>
        </w:rPr>
        <w:t xml:space="preserve"> de Auditoría Interna del Órgano Interno de Control Municipal</w:t>
      </w:r>
      <w:bookmarkEnd w:id="0"/>
      <w:r w:rsidRPr="00726EF9">
        <w:rPr>
          <w:rFonts w:ascii="Century Gothic" w:eastAsia="Microsoft Yi Baiti" w:hAnsi="Century Gothic"/>
          <w:iCs/>
          <w:sz w:val="16"/>
          <w:szCs w:val="16"/>
        </w:rPr>
        <w:t>,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29A9D58B" w14:textId="77777777" w:rsidR="007910D1" w:rsidRPr="00726EF9" w:rsidRDefault="007910D1" w:rsidP="003E59D8">
      <w:pPr>
        <w:jc w:val="both"/>
        <w:rPr>
          <w:rFonts w:ascii="Century Gothic" w:eastAsia="Microsoft Yi Baiti" w:hAnsi="Century Gothic"/>
          <w:iCs/>
          <w:sz w:val="16"/>
          <w:szCs w:val="16"/>
        </w:rPr>
      </w:pPr>
    </w:p>
    <w:p w14:paraId="7371F75B" w14:textId="77777777" w:rsidR="007910D1" w:rsidRPr="00726EF9" w:rsidRDefault="007910D1"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25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762B514C" w14:textId="77777777" w:rsidR="007910D1" w:rsidRPr="00726EF9" w:rsidRDefault="007910D1" w:rsidP="003E59D8">
      <w:pPr>
        <w:jc w:val="both"/>
        <w:rPr>
          <w:rFonts w:ascii="Century Gothic" w:eastAsia="Microsoft Yi Baiti" w:hAnsi="Century Gothic" w:cs="Arial"/>
          <w:sz w:val="16"/>
          <w:szCs w:val="16"/>
        </w:rPr>
      </w:pPr>
    </w:p>
    <w:p w14:paraId="2CBE9226" w14:textId="367F7F39" w:rsidR="000B63BF" w:rsidRDefault="000B63BF" w:rsidP="000B63BF">
      <w:pPr>
        <w:spacing w:line="276" w:lineRule="auto"/>
        <w:jc w:val="both"/>
        <w:rPr>
          <w:rFonts w:ascii="Century Gothic" w:eastAsia="Microsoft Yi Baiti" w:hAnsi="Century Gothic" w:cs="Arial"/>
          <w:b/>
          <w:sz w:val="16"/>
          <w:szCs w:val="16"/>
        </w:rPr>
      </w:pPr>
      <w:r w:rsidRPr="00C416F8">
        <w:rPr>
          <w:rFonts w:ascii="Century Gothic" w:eastAsia="Microsoft Yi Baiti" w:hAnsi="Century Gothic" w:cs="Arial"/>
          <w:sz w:val="16"/>
          <w:szCs w:val="16"/>
        </w:rPr>
        <w:t xml:space="preserve">El análisis de la(s) propuesta(s) recibida(s) se llevó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r w:rsidRPr="00C416F8">
        <w:rPr>
          <w:rFonts w:ascii="Century Gothic" w:eastAsia="Century Gothic" w:hAnsi="Century Gothic" w:cs="Century Gothic"/>
          <w:sz w:val="16"/>
          <w:szCs w:val="16"/>
        </w:rPr>
        <w:t>En el proceso de revisión cua</w:t>
      </w:r>
      <w:r>
        <w:rPr>
          <w:rFonts w:ascii="Century Gothic" w:eastAsia="Century Gothic" w:hAnsi="Century Gothic" w:cs="Century Gothic"/>
          <w:sz w:val="16"/>
          <w:szCs w:val="16"/>
        </w:rPr>
        <w:t>li</w:t>
      </w:r>
      <w:r w:rsidRPr="00C416F8">
        <w:rPr>
          <w:rFonts w:ascii="Century Gothic" w:eastAsia="Century Gothic" w:hAnsi="Century Gothic" w:cs="Century Gothic"/>
          <w:sz w:val="16"/>
          <w:szCs w:val="16"/>
        </w:rPr>
        <w:t>tativa se hace constar que</w:t>
      </w:r>
      <w:r>
        <w:rPr>
          <w:rFonts w:ascii="Century Gothic" w:eastAsia="Century Gothic" w:hAnsi="Century Gothic" w:cs="Century Gothic"/>
          <w:sz w:val="16"/>
          <w:szCs w:val="16"/>
        </w:rPr>
        <w:t xml:space="preserve"> la propuesta técnica del licitante</w:t>
      </w:r>
      <w:r w:rsidRPr="00164A89">
        <w:rPr>
          <w:rFonts w:ascii="Century Gothic" w:eastAsia="Microsoft Yi Baiti" w:hAnsi="Century Gothic" w:cs="Arial"/>
          <w:b/>
          <w:sz w:val="16"/>
          <w:szCs w:val="16"/>
        </w:rPr>
        <w:t xml:space="preserve"> </w:t>
      </w:r>
      <w:r w:rsidRPr="000B63BF">
        <w:rPr>
          <w:rFonts w:ascii="Century Gothic" w:eastAsia="Microsoft Yi Baiti" w:hAnsi="Century Gothic" w:cs="Arial"/>
          <w:b/>
          <w:kern w:val="2"/>
          <w:sz w:val="16"/>
          <w:szCs w:val="16"/>
          <w14:ligatures w14:val="standardContextual"/>
        </w:rPr>
        <w:t>XHOJCHHI y Compañía, S.A. de C.V.</w:t>
      </w:r>
      <w:r w:rsidRPr="000B63BF">
        <w:rPr>
          <w:rFonts w:ascii="Century Gothic" w:eastAsia="Microsoft Yi Baiti" w:hAnsi="Century Gothic" w:cs="Arial"/>
          <w:b/>
          <w:sz w:val="16"/>
          <w:szCs w:val="16"/>
        </w:rPr>
        <w:t>:</w:t>
      </w:r>
      <w:r>
        <w:rPr>
          <w:rFonts w:ascii="Century Gothic" w:eastAsia="Microsoft Yi Baiti" w:hAnsi="Century Gothic" w:cs="Arial"/>
          <w:b/>
          <w:sz w:val="16"/>
          <w:szCs w:val="16"/>
        </w:rPr>
        <w:t xml:space="preserve"> </w:t>
      </w:r>
    </w:p>
    <w:p w14:paraId="25F97C18" w14:textId="77777777" w:rsidR="000B63BF" w:rsidRPr="00683A68" w:rsidRDefault="000B63BF" w:rsidP="000B63BF">
      <w:pPr>
        <w:jc w:val="both"/>
        <w:rPr>
          <w:rFonts w:ascii="Century Gothic" w:eastAsia="Microsoft Yi Baiti" w:hAnsi="Century Gothic" w:cs="Arial"/>
          <w:b/>
          <w:sz w:val="14"/>
          <w:szCs w:val="16"/>
        </w:rPr>
      </w:pPr>
    </w:p>
    <w:p w14:paraId="0C079E41" w14:textId="575C5217" w:rsidR="00D90517" w:rsidRDefault="000B63BF" w:rsidP="000B63BF">
      <w:pPr>
        <w:jc w:val="both"/>
        <w:rPr>
          <w:rFonts w:ascii="Century Gothic" w:eastAsia="Microsoft Yi Baiti" w:hAnsi="Century Gothic" w:cs="Arial"/>
          <w:sz w:val="16"/>
          <w:szCs w:val="16"/>
        </w:rPr>
      </w:pPr>
      <w:r w:rsidRPr="00C416F8">
        <w:rPr>
          <w:rFonts w:ascii="Century Gothic" w:eastAsia="Microsoft Yi Baiti" w:hAnsi="Century Gothic" w:cs="Arial"/>
          <w:sz w:val="16"/>
          <w:szCs w:val="16"/>
        </w:rPr>
        <w:t xml:space="preserve">En el </w:t>
      </w:r>
      <w:r>
        <w:rPr>
          <w:rFonts w:ascii="Century Gothic" w:eastAsia="Microsoft Yi Baiti" w:hAnsi="Century Gothic" w:cs="Arial"/>
          <w:sz w:val="16"/>
          <w:szCs w:val="16"/>
        </w:rPr>
        <w:t>ANEXO</w:t>
      </w:r>
      <w:r w:rsidRPr="00C416F8">
        <w:rPr>
          <w:rFonts w:ascii="Century Gothic" w:eastAsia="Microsoft Yi Baiti" w:hAnsi="Century Gothic" w:cs="Arial"/>
          <w:sz w:val="16"/>
          <w:szCs w:val="16"/>
        </w:rPr>
        <w:t xml:space="preserve"> </w:t>
      </w:r>
      <w:r>
        <w:rPr>
          <w:rFonts w:ascii="Century Gothic" w:eastAsia="Microsoft Yi Baiti" w:hAnsi="Century Gothic" w:cs="Arial"/>
          <w:sz w:val="16"/>
          <w:szCs w:val="16"/>
        </w:rPr>
        <w:t>9</w:t>
      </w:r>
      <w:r w:rsidR="00AA0943">
        <w:rPr>
          <w:rFonts w:ascii="Century Gothic" w:eastAsia="Microsoft Yi Baiti" w:hAnsi="Century Gothic" w:cs="Arial"/>
          <w:sz w:val="16"/>
          <w:szCs w:val="16"/>
        </w:rPr>
        <w:t xml:space="preserve"> </w:t>
      </w:r>
      <w:r w:rsidR="00AA0943" w:rsidRPr="00AA0943">
        <w:rPr>
          <w:rFonts w:ascii="Century Gothic" w:eastAsia="Microsoft Yi Baiti" w:hAnsi="Century Gothic" w:cs="Arial"/>
          <w:sz w:val="16"/>
          <w:szCs w:val="16"/>
        </w:rPr>
        <w:t>Relación de los contratos de obra que tenga celebrados en un lapso máximo de cinco años previos a la publicación de la CONVOCATORIA, de trabajos similares a los de esta licitación, en las que sea probable su participación, tanto con las administraciones públicas federal, estatal o municipal como con particulares, con los que acredite la experiencia y capacidad técnica requerida.</w:t>
      </w:r>
      <w:r>
        <w:rPr>
          <w:rFonts w:ascii="Century Gothic" w:eastAsia="Microsoft Yi Baiti" w:hAnsi="Century Gothic" w:cs="Arial"/>
          <w:sz w:val="16"/>
          <w:szCs w:val="16"/>
        </w:rPr>
        <w:t xml:space="preserve"> Se le solicita al Licitante copia simple de Contratos debidamente </w:t>
      </w:r>
      <w:r w:rsidR="00460B23">
        <w:rPr>
          <w:rFonts w:ascii="Century Gothic" w:eastAsia="Microsoft Yi Baiti" w:hAnsi="Century Gothic" w:cs="Arial"/>
          <w:sz w:val="16"/>
          <w:szCs w:val="16"/>
        </w:rPr>
        <w:t>formalizados</w:t>
      </w:r>
      <w:r>
        <w:rPr>
          <w:rFonts w:ascii="Century Gothic" w:eastAsia="Microsoft Yi Baiti" w:hAnsi="Century Gothic" w:cs="Arial"/>
          <w:sz w:val="16"/>
          <w:szCs w:val="16"/>
        </w:rPr>
        <w:t xml:space="preserve"> y completos, sin </w:t>
      </w:r>
      <w:r w:rsidR="009E43CC">
        <w:rPr>
          <w:rFonts w:ascii="Century Gothic" w:eastAsia="Microsoft Yi Baiti" w:hAnsi="Century Gothic" w:cs="Arial"/>
          <w:sz w:val="16"/>
          <w:szCs w:val="16"/>
        </w:rPr>
        <w:t>embargo,</w:t>
      </w:r>
      <w:r>
        <w:rPr>
          <w:rFonts w:ascii="Century Gothic" w:eastAsia="Microsoft Yi Baiti" w:hAnsi="Century Gothic" w:cs="Arial"/>
          <w:sz w:val="16"/>
          <w:szCs w:val="16"/>
        </w:rPr>
        <w:t xml:space="preserve"> en los contratos número 048-FISE/LP/DIE/IOCIED/2024 y 066-FISE/LP/DIE/IOCIED/2024, ambos carecen de la firma del </w:t>
      </w:r>
      <w:proofErr w:type="gramStart"/>
      <w:r>
        <w:rPr>
          <w:rFonts w:ascii="Century Gothic" w:eastAsia="Microsoft Yi Baiti" w:hAnsi="Century Gothic" w:cs="Arial"/>
          <w:sz w:val="16"/>
          <w:szCs w:val="16"/>
        </w:rPr>
        <w:t>Director General</w:t>
      </w:r>
      <w:proofErr w:type="gramEnd"/>
      <w:r>
        <w:rPr>
          <w:rFonts w:ascii="Century Gothic" w:eastAsia="Microsoft Yi Baiti" w:hAnsi="Century Gothic" w:cs="Arial"/>
          <w:sz w:val="16"/>
          <w:szCs w:val="16"/>
        </w:rPr>
        <w:t xml:space="preserve"> del Instituto Oaxaqueño Constructor de Infraestructura Educativa, Lic. Emmanuel Alejandro López Jarquín, por lo que el Licitante INCUMPLE</w:t>
      </w:r>
      <w:r w:rsidR="00D90517">
        <w:rPr>
          <w:rFonts w:ascii="Century Gothic" w:eastAsia="Microsoft Yi Baiti" w:hAnsi="Century Gothic" w:cs="Arial"/>
          <w:sz w:val="16"/>
          <w:szCs w:val="16"/>
        </w:rPr>
        <w:t xml:space="preserve"> con los requisitos que se le solicitan en el ANEXO número 9 de las bases de la licitación.</w:t>
      </w:r>
    </w:p>
    <w:p w14:paraId="0BC6129A" w14:textId="11859F58" w:rsidR="00AA0943" w:rsidRDefault="00AA0943" w:rsidP="000B63BF">
      <w:pPr>
        <w:jc w:val="both"/>
        <w:rPr>
          <w:rFonts w:ascii="Century Gothic" w:eastAsia="Microsoft Yi Baiti" w:hAnsi="Century Gothic" w:cs="Arial"/>
          <w:sz w:val="16"/>
          <w:szCs w:val="16"/>
        </w:rPr>
      </w:pPr>
    </w:p>
    <w:p w14:paraId="4E3EADDD" w14:textId="77777777" w:rsidR="00AA0943" w:rsidRDefault="00AA0943" w:rsidP="000B63BF">
      <w:pPr>
        <w:jc w:val="both"/>
        <w:rPr>
          <w:rFonts w:ascii="Century Gothic" w:eastAsia="Microsoft Yi Baiti" w:hAnsi="Century Gothic" w:cs="Arial"/>
          <w:sz w:val="16"/>
          <w:szCs w:val="16"/>
        </w:rPr>
      </w:pPr>
    </w:p>
    <w:p w14:paraId="238DCF1A" w14:textId="4E7F4066" w:rsidR="00460B23" w:rsidRDefault="00460B23" w:rsidP="000B63BF">
      <w:pPr>
        <w:jc w:val="both"/>
        <w:rPr>
          <w:rFonts w:ascii="Century Gothic" w:eastAsia="Microsoft Yi Baiti" w:hAnsi="Century Gothic" w:cs="Arial"/>
          <w:sz w:val="16"/>
          <w:szCs w:val="16"/>
        </w:rPr>
      </w:pPr>
    </w:p>
    <w:p w14:paraId="15D02ED3" w14:textId="77777777" w:rsidR="00577E90" w:rsidRDefault="00AA0943" w:rsidP="00DD7740">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lastRenderedPageBreak/>
        <w:t xml:space="preserve">En el ANEXO 19 Análisis, Cálculo e Integración del Factor de Salario Real, considera dentro del análisis del mismo el impuesto sobre erogaciones por remuneraciones al trabajo, conocido también como impuesto sobre nómina, sin embargo, este cargo se debe incluir en el ANEXO 27, cálculo de la utilidad, por lo que el cálculo del ANEXO 19 es </w:t>
      </w:r>
      <w:r w:rsidR="00DD7740">
        <w:rPr>
          <w:rFonts w:ascii="Century Gothic" w:eastAsia="Microsoft Yi Baiti" w:hAnsi="Century Gothic" w:cs="Arial"/>
          <w:sz w:val="16"/>
          <w:szCs w:val="16"/>
        </w:rPr>
        <w:t>erróneo</w:t>
      </w:r>
      <w:r w:rsidR="008F1D6D">
        <w:rPr>
          <w:rFonts w:ascii="Century Gothic" w:eastAsia="Microsoft Yi Baiti" w:hAnsi="Century Gothic" w:cs="Arial"/>
          <w:sz w:val="16"/>
          <w:szCs w:val="16"/>
        </w:rPr>
        <w:t>.</w:t>
      </w:r>
      <w:r w:rsidR="00260F51">
        <w:rPr>
          <w:rFonts w:ascii="Century Gothic" w:eastAsia="Microsoft Yi Baiti" w:hAnsi="Century Gothic" w:cs="Arial"/>
          <w:sz w:val="16"/>
          <w:szCs w:val="16"/>
        </w:rPr>
        <w:t xml:space="preserve"> </w:t>
      </w:r>
    </w:p>
    <w:p w14:paraId="7AA64BE2" w14:textId="77777777" w:rsidR="00577E90" w:rsidRDefault="00577E90" w:rsidP="00DD7740">
      <w:pPr>
        <w:spacing w:line="276" w:lineRule="auto"/>
        <w:jc w:val="both"/>
        <w:rPr>
          <w:rFonts w:ascii="Century Gothic" w:eastAsia="Microsoft Yi Baiti" w:hAnsi="Century Gothic" w:cs="Arial"/>
          <w:sz w:val="16"/>
          <w:szCs w:val="16"/>
        </w:rPr>
      </w:pPr>
    </w:p>
    <w:p w14:paraId="02D65E2D" w14:textId="09F5115A" w:rsidR="00460B23" w:rsidRDefault="00577E90" w:rsidP="00DD7740">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t>E</w:t>
      </w:r>
      <w:r w:rsidR="00DD7740">
        <w:rPr>
          <w:rFonts w:ascii="Century Gothic" w:eastAsia="Microsoft Yi Baiti" w:hAnsi="Century Gothic" w:cs="Arial"/>
          <w:sz w:val="16"/>
          <w:szCs w:val="16"/>
        </w:rPr>
        <w:t>n el ANEXO número 10</w:t>
      </w:r>
      <w:r w:rsidR="004A4F30">
        <w:rPr>
          <w:rFonts w:ascii="Century Gothic" w:eastAsia="Microsoft Yi Baiti" w:hAnsi="Century Gothic" w:cs="Arial"/>
          <w:sz w:val="16"/>
          <w:szCs w:val="16"/>
        </w:rPr>
        <w:t xml:space="preserve"> datos de los profesionales y técnicos, para el caso del superintendente y el auxiliar del superintendente, en las bases de la licitación se señala que ambos deberán permanecer de tiempo completo en el campo o gabinete y que además no podrán participar para la misma empresa o distinta empresa en otra</w:t>
      </w:r>
      <w:r w:rsidR="002C6717">
        <w:rPr>
          <w:rFonts w:ascii="Century Gothic" w:eastAsia="Microsoft Yi Baiti" w:hAnsi="Century Gothic" w:cs="Arial"/>
          <w:sz w:val="16"/>
          <w:szCs w:val="16"/>
        </w:rPr>
        <w:t>s</w:t>
      </w:r>
      <w:r w:rsidR="004A4F30">
        <w:rPr>
          <w:rFonts w:ascii="Century Gothic" w:eastAsia="Microsoft Yi Baiti" w:hAnsi="Century Gothic" w:cs="Arial"/>
          <w:sz w:val="16"/>
          <w:szCs w:val="16"/>
        </w:rPr>
        <w:t xml:space="preserve"> obras, sin embargo el licitante en su propuesta en el ANEXO 21</w:t>
      </w:r>
      <w:r w:rsidR="007840FA">
        <w:rPr>
          <w:rFonts w:ascii="Century Gothic" w:eastAsia="Microsoft Yi Baiti" w:hAnsi="Century Gothic" w:cs="Arial"/>
          <w:sz w:val="16"/>
          <w:szCs w:val="16"/>
        </w:rPr>
        <w:t>d</w:t>
      </w:r>
      <w:r w:rsidR="004A4F30">
        <w:rPr>
          <w:rFonts w:ascii="Century Gothic" w:eastAsia="Microsoft Yi Baiti" w:hAnsi="Century Gothic" w:cs="Arial"/>
          <w:sz w:val="16"/>
          <w:szCs w:val="16"/>
        </w:rPr>
        <w:t>, programa calendarizado del personal profesional  técnico, administrativo y de servicio, señala en total 58.10 jornales para cada uno, cuando el plazo de ejecución de la obra es de 83 días naturales o 83 jornales, por tal motivo INCUMPLE lo señalado en los anexos 10 y 21</w:t>
      </w:r>
      <w:r w:rsidR="007840FA">
        <w:rPr>
          <w:rFonts w:ascii="Century Gothic" w:eastAsia="Microsoft Yi Baiti" w:hAnsi="Century Gothic" w:cs="Arial"/>
          <w:sz w:val="16"/>
          <w:szCs w:val="16"/>
        </w:rPr>
        <w:t>d</w:t>
      </w:r>
      <w:r w:rsidR="004A4F30">
        <w:rPr>
          <w:rFonts w:ascii="Century Gothic" w:eastAsia="Microsoft Yi Baiti" w:hAnsi="Century Gothic" w:cs="Arial"/>
          <w:sz w:val="16"/>
          <w:szCs w:val="16"/>
        </w:rPr>
        <w:t xml:space="preserve"> de las bases de la licitación.</w:t>
      </w:r>
      <w:r w:rsidR="00DD7740">
        <w:rPr>
          <w:rFonts w:ascii="Century Gothic" w:eastAsia="Microsoft Yi Baiti" w:hAnsi="Century Gothic" w:cs="Arial"/>
          <w:sz w:val="16"/>
          <w:szCs w:val="16"/>
        </w:rPr>
        <w:t xml:space="preserve"> </w:t>
      </w:r>
      <w:r w:rsidR="007426BC">
        <w:rPr>
          <w:rFonts w:ascii="Century Gothic" w:eastAsia="Microsoft Yi Baiti" w:hAnsi="Century Gothic" w:cs="Arial"/>
          <w:sz w:val="16"/>
          <w:szCs w:val="16"/>
        </w:rPr>
        <w:t xml:space="preserve"> </w:t>
      </w:r>
      <w:r w:rsidR="00217290">
        <w:rPr>
          <w:rFonts w:ascii="Century Gothic" w:eastAsia="Microsoft Yi Baiti" w:hAnsi="Century Gothic" w:cs="Arial"/>
          <w:sz w:val="16"/>
          <w:szCs w:val="16"/>
        </w:rPr>
        <w:t xml:space="preserve"> </w:t>
      </w:r>
    </w:p>
    <w:p w14:paraId="4C15D3F1" w14:textId="0C66A9C7" w:rsidR="00D90517" w:rsidRDefault="00D90517" w:rsidP="000B63BF">
      <w:pPr>
        <w:jc w:val="both"/>
        <w:rPr>
          <w:rFonts w:ascii="Century Gothic" w:eastAsia="Microsoft Yi Baiti" w:hAnsi="Century Gothic" w:cs="Arial"/>
          <w:sz w:val="16"/>
          <w:szCs w:val="16"/>
        </w:rPr>
      </w:pPr>
    </w:p>
    <w:p w14:paraId="19582ACB" w14:textId="77777777" w:rsidR="00D90517" w:rsidRDefault="00D90517" w:rsidP="00D90517">
      <w:pPr>
        <w:widowControl w:val="0"/>
        <w:jc w:val="both"/>
        <w:rPr>
          <w:rFonts w:ascii="Century Gothic" w:eastAsia="Century Gothic" w:hAnsi="Century Gothic" w:cs="Century Gothic"/>
          <w:snapToGrid w:val="0"/>
          <w:sz w:val="16"/>
          <w:szCs w:val="16"/>
          <w:lang w:val="es-ES_tradnl" w:eastAsia="es-ES"/>
        </w:rPr>
      </w:pPr>
      <w:r w:rsidRPr="00923DA7">
        <w:rPr>
          <w:rFonts w:ascii="Century Gothic" w:eastAsia="Century Gothic" w:hAnsi="Century Gothic" w:cs="Century Gothic"/>
          <w:snapToGrid w:val="0"/>
          <w:sz w:val="16"/>
          <w:szCs w:val="16"/>
          <w:lang w:val="es-ES_tradnl" w:eastAsia="es-ES"/>
        </w:rPr>
        <w:t xml:space="preserve">Por tal motivo se desecha su propuesta, con fundamento en las bases de licitación como se detalla a continuación </w:t>
      </w:r>
    </w:p>
    <w:p w14:paraId="666E7D05" w14:textId="77777777" w:rsidR="00D90517" w:rsidRDefault="00D90517" w:rsidP="00D90517">
      <w:pPr>
        <w:widowControl w:val="0"/>
        <w:jc w:val="both"/>
        <w:rPr>
          <w:rFonts w:ascii="Century Gothic" w:eastAsia="Century Gothic" w:hAnsi="Century Gothic" w:cs="Century Gothic"/>
          <w:snapToGrid w:val="0"/>
          <w:sz w:val="16"/>
          <w:szCs w:val="16"/>
          <w:lang w:val="es-ES_tradnl" w:eastAsia="es-ES"/>
        </w:rPr>
      </w:pPr>
    </w:p>
    <w:p w14:paraId="36D86D11" w14:textId="77777777" w:rsidR="00D90517" w:rsidRPr="00683A68" w:rsidRDefault="00D90517" w:rsidP="00D90517">
      <w:pPr>
        <w:widowControl w:val="0"/>
        <w:jc w:val="both"/>
        <w:rPr>
          <w:rFonts w:ascii="Century Gothic" w:eastAsia="Times New Roman" w:hAnsi="Century Gothic" w:cs="Arial"/>
          <w:b/>
          <w:snapToGrid w:val="0"/>
          <w:sz w:val="16"/>
          <w:szCs w:val="16"/>
          <w:lang w:val="es-ES" w:eastAsia="es-ES"/>
        </w:rPr>
      </w:pPr>
      <w:r w:rsidRPr="00923DA7">
        <w:rPr>
          <w:rFonts w:ascii="Century Gothic" w:eastAsia="Times New Roman" w:hAnsi="Century Gothic" w:cs="Arial"/>
          <w:b/>
          <w:snapToGrid w:val="0"/>
          <w:sz w:val="16"/>
          <w:szCs w:val="16"/>
          <w:lang w:val="es-ES" w:eastAsia="es-ES"/>
        </w:rPr>
        <w:t xml:space="preserve">8.2 </w:t>
      </w:r>
      <w:r w:rsidRPr="00683A68">
        <w:rPr>
          <w:rFonts w:ascii="Century Gothic" w:eastAsia="Times New Roman" w:hAnsi="Century Gothic" w:cs="Arial"/>
          <w:b/>
          <w:snapToGrid w:val="0"/>
          <w:sz w:val="16"/>
          <w:szCs w:val="16"/>
          <w:lang w:val="es-ES" w:eastAsia="es-ES"/>
        </w:rPr>
        <w:t>C</w:t>
      </w:r>
      <w:r w:rsidRPr="00923DA7">
        <w:rPr>
          <w:rFonts w:ascii="Century Gothic" w:eastAsia="Times New Roman" w:hAnsi="Century Gothic" w:cs="Arial"/>
          <w:b/>
          <w:snapToGrid w:val="0"/>
          <w:sz w:val="16"/>
          <w:szCs w:val="16"/>
          <w:lang w:val="es-ES" w:eastAsia="es-ES"/>
        </w:rPr>
        <w:t xml:space="preserve">ausas por las que se desecharán las propuestas durante la evaluación y análisis detallado </w:t>
      </w:r>
    </w:p>
    <w:p w14:paraId="27DCE4F1" w14:textId="77777777" w:rsidR="00D90517" w:rsidRPr="00683A68" w:rsidRDefault="00D90517" w:rsidP="00D90517">
      <w:pPr>
        <w:widowControl w:val="0"/>
        <w:jc w:val="both"/>
        <w:rPr>
          <w:rFonts w:ascii="Century Gothic" w:eastAsia="Times New Roman" w:hAnsi="Century Gothic" w:cs="Arial"/>
          <w:b/>
          <w:snapToGrid w:val="0"/>
          <w:sz w:val="16"/>
          <w:szCs w:val="16"/>
          <w:lang w:val="es-ES" w:eastAsia="es-ES"/>
        </w:rPr>
      </w:pPr>
      <w:r w:rsidRPr="00683A68">
        <w:rPr>
          <w:rFonts w:ascii="Century Gothic" w:eastAsia="Times New Roman" w:hAnsi="Century Gothic" w:cs="Arial"/>
          <w:b/>
          <w:snapToGrid w:val="0"/>
          <w:sz w:val="16"/>
          <w:szCs w:val="16"/>
          <w:lang w:val="es-ES" w:eastAsia="es-ES"/>
        </w:rPr>
        <w:t>c) Que no presente cualquiera de los ANEXOS requeridos en el punto 4 de las bases, o que la información proporcionada en cualquiera de ellos esté incompleta, presente errores o sea falsa, así como la falta del CD o de la información solicitada en el mismo.</w:t>
      </w:r>
    </w:p>
    <w:p w14:paraId="3AE2C910" w14:textId="77777777" w:rsidR="00D90517" w:rsidRPr="00683A68" w:rsidRDefault="00D90517" w:rsidP="00D90517">
      <w:pPr>
        <w:widowControl w:val="0"/>
        <w:jc w:val="both"/>
        <w:rPr>
          <w:rFonts w:ascii="Century Gothic" w:eastAsia="Times New Roman" w:hAnsi="Century Gothic" w:cs="Arial"/>
          <w:b/>
          <w:snapToGrid w:val="0"/>
          <w:sz w:val="16"/>
          <w:szCs w:val="16"/>
          <w:lang w:val="es-ES" w:eastAsia="es-ES"/>
        </w:rPr>
      </w:pPr>
      <w:r w:rsidRPr="00683A68">
        <w:rPr>
          <w:rFonts w:ascii="Century Gothic" w:eastAsia="Times New Roman" w:hAnsi="Century Gothic" w:cs="Arial"/>
          <w:b/>
          <w:snapToGrid w:val="0"/>
          <w:sz w:val="16"/>
          <w:szCs w:val="16"/>
          <w:lang w:val="es-ES" w:eastAsia="es-ES"/>
        </w:rPr>
        <w:t>f) Que algún rubro en lo individual esté incompleto, presente errores o se encuentre mal calculado.</w:t>
      </w:r>
    </w:p>
    <w:p w14:paraId="2948501E" w14:textId="7B641043" w:rsidR="00D90517" w:rsidRDefault="00D90517" w:rsidP="00D90517">
      <w:pPr>
        <w:widowControl w:val="0"/>
        <w:jc w:val="both"/>
        <w:rPr>
          <w:rFonts w:ascii="Century Gothic" w:eastAsia="Times New Roman" w:hAnsi="Century Gothic" w:cs="Arial"/>
          <w:b/>
          <w:snapToGrid w:val="0"/>
          <w:sz w:val="16"/>
          <w:szCs w:val="16"/>
          <w:lang w:val="es-ES" w:eastAsia="es-ES"/>
        </w:rPr>
      </w:pPr>
      <w:r w:rsidRPr="00683A68">
        <w:rPr>
          <w:rFonts w:ascii="Century Gothic" w:eastAsia="Times New Roman" w:hAnsi="Century Gothic" w:cs="Arial"/>
          <w:b/>
          <w:snapToGrid w:val="0"/>
          <w:sz w:val="16"/>
          <w:szCs w:val="16"/>
          <w:lang w:val="es-ES" w:eastAsia="es-ES"/>
        </w:rPr>
        <w:t>m) Por la falta de cumplimiento de las condiciones legales, administrativas, técnicas y económicas requeridas por la convocante, establecidos en la presente LICITACIÓN PÚBLICA ESTATAL, o que algún rubro en lo individual esté incompleto o que exista incongruencia entre uno y otro.</w:t>
      </w:r>
    </w:p>
    <w:p w14:paraId="48D0E089" w14:textId="7F8EBD2E" w:rsidR="00770049" w:rsidRPr="00923DA7" w:rsidRDefault="00770049" w:rsidP="00D90517">
      <w:pPr>
        <w:widowControl w:val="0"/>
        <w:jc w:val="both"/>
        <w:rPr>
          <w:rFonts w:ascii="Century Gothic" w:eastAsia="Times New Roman" w:hAnsi="Century Gothic" w:cs="Arial"/>
          <w:b/>
          <w:snapToGrid w:val="0"/>
          <w:sz w:val="16"/>
          <w:szCs w:val="16"/>
          <w:lang w:val="es-ES" w:eastAsia="es-ES"/>
        </w:rPr>
      </w:pPr>
      <w:r>
        <w:rPr>
          <w:rFonts w:ascii="Century Gothic" w:eastAsia="Times New Roman" w:hAnsi="Century Gothic" w:cs="Arial"/>
          <w:b/>
          <w:snapToGrid w:val="0"/>
          <w:sz w:val="16"/>
          <w:szCs w:val="16"/>
          <w:lang w:val="es-ES" w:eastAsia="es-ES"/>
        </w:rPr>
        <w:t xml:space="preserve">r) </w:t>
      </w:r>
      <w:r w:rsidRPr="00770049">
        <w:rPr>
          <w:rFonts w:ascii="Century Gothic" w:eastAsia="Times New Roman" w:hAnsi="Century Gothic" w:cs="Arial"/>
          <w:b/>
          <w:snapToGrid w:val="0"/>
          <w:sz w:val="16"/>
          <w:szCs w:val="16"/>
          <w:lang w:val="es-ES" w:eastAsia="es-ES"/>
        </w:rPr>
        <w:t>Cualquier falta a lo expresado en el numeral 5.2 de estas bases de Licitación o en general cualquier requisito de la convocatoria</w:t>
      </w:r>
      <w:r w:rsidR="00F6010F">
        <w:rPr>
          <w:rFonts w:ascii="Century Gothic" w:eastAsia="Times New Roman" w:hAnsi="Century Gothic" w:cs="Arial"/>
          <w:b/>
          <w:snapToGrid w:val="0"/>
          <w:sz w:val="16"/>
          <w:szCs w:val="16"/>
          <w:lang w:val="es-ES" w:eastAsia="es-ES"/>
        </w:rPr>
        <w:t>.</w:t>
      </w:r>
    </w:p>
    <w:p w14:paraId="66962080" w14:textId="77777777" w:rsidR="00D90517" w:rsidRDefault="00D90517" w:rsidP="000B63BF">
      <w:pPr>
        <w:jc w:val="both"/>
        <w:rPr>
          <w:rFonts w:ascii="Century Gothic" w:eastAsia="Microsoft Yi Baiti" w:hAnsi="Century Gothic" w:cs="Arial"/>
          <w:sz w:val="16"/>
          <w:szCs w:val="16"/>
        </w:rPr>
      </w:pPr>
    </w:p>
    <w:p w14:paraId="3FE63736" w14:textId="77777777" w:rsidR="007910D1" w:rsidRPr="00726EF9" w:rsidRDefault="007910D1"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7910D1" w:rsidRPr="00726EF9" w14:paraId="3D2E3F32" w14:textId="77777777" w:rsidTr="002E2D0D">
        <w:trPr>
          <w:trHeight w:hRule="exact" w:val="284"/>
        </w:trPr>
        <w:tc>
          <w:tcPr>
            <w:tcW w:w="529" w:type="dxa"/>
            <w:shd w:val="clear" w:color="auto" w:fill="auto"/>
            <w:vAlign w:val="center"/>
          </w:tcPr>
          <w:p w14:paraId="7DE0EB8E" w14:textId="77777777" w:rsidR="007910D1" w:rsidRPr="00726EF9" w:rsidRDefault="007910D1" w:rsidP="002E2D0D">
            <w:pPr>
              <w:jc w:val="center"/>
              <w:rPr>
                <w:rFonts w:ascii="Century Gothic" w:eastAsia="Microsoft Yi Baiti" w:hAnsi="Century Gothic"/>
                <w:b/>
                <w:sz w:val="16"/>
                <w:szCs w:val="16"/>
              </w:rPr>
            </w:pPr>
            <w:proofErr w:type="spellStart"/>
            <w:r w:rsidRPr="00726EF9">
              <w:rPr>
                <w:rFonts w:ascii="Century Gothic" w:eastAsia="Microsoft Yi Baiti" w:hAnsi="Century Gothic"/>
                <w:b/>
                <w:sz w:val="16"/>
                <w:szCs w:val="16"/>
              </w:rPr>
              <w:t>N°</w:t>
            </w:r>
            <w:proofErr w:type="spellEnd"/>
          </w:p>
        </w:tc>
        <w:tc>
          <w:tcPr>
            <w:tcW w:w="3719" w:type="dxa"/>
            <w:shd w:val="clear" w:color="auto" w:fill="auto"/>
            <w:vAlign w:val="center"/>
          </w:tcPr>
          <w:p w14:paraId="38B997BA" w14:textId="77777777" w:rsidR="007910D1" w:rsidRPr="00726EF9" w:rsidRDefault="007910D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42FE9F33" w14:textId="77777777" w:rsidR="007910D1" w:rsidRPr="00726EF9" w:rsidRDefault="007910D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2132E8" w:rsidRPr="00726EF9" w14:paraId="19EC18BE" w14:textId="77777777" w:rsidTr="002E2D0D">
        <w:trPr>
          <w:trHeight w:val="414"/>
        </w:trPr>
        <w:tc>
          <w:tcPr>
            <w:tcW w:w="529" w:type="dxa"/>
            <w:shd w:val="clear" w:color="auto" w:fill="auto"/>
            <w:vAlign w:val="center"/>
          </w:tcPr>
          <w:p w14:paraId="323B2892" w14:textId="77777777" w:rsidR="002132E8" w:rsidRPr="00726EF9" w:rsidRDefault="002132E8" w:rsidP="002132E8">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229046DA" w14:textId="11C6D6A3" w:rsidR="002132E8" w:rsidRPr="003E59D8" w:rsidRDefault="002132E8" w:rsidP="002132E8">
            <w:pPr>
              <w:jc w:val="both"/>
              <w:rPr>
                <w:rFonts w:ascii="Century Gothic" w:eastAsia="Microsoft Yi Baiti" w:hAnsi="Century Gothic" w:cs="Arial"/>
                <w:b/>
                <w:color w:val="0000FF"/>
                <w:sz w:val="16"/>
                <w:szCs w:val="16"/>
                <w:highlight w:val="yellow"/>
              </w:rPr>
            </w:pPr>
            <w:r>
              <w:rPr>
                <w:rFonts w:ascii="Century Gothic" w:eastAsia="Microsoft Yi Baiti" w:hAnsi="Century Gothic" w:cs="Arial"/>
                <w:kern w:val="2"/>
                <w:sz w:val="16"/>
                <w:szCs w:val="16"/>
                <w14:ligatures w14:val="standardContextual"/>
              </w:rPr>
              <w:t>Desarrollo de Proyectos y Construcciones Almada S.A. de C.V.</w:t>
            </w:r>
          </w:p>
        </w:tc>
        <w:tc>
          <w:tcPr>
            <w:tcW w:w="4580" w:type="dxa"/>
            <w:shd w:val="clear" w:color="auto" w:fill="auto"/>
            <w:vAlign w:val="center"/>
          </w:tcPr>
          <w:p w14:paraId="13FADC8F" w14:textId="77777777" w:rsidR="002132E8" w:rsidRPr="002132E8" w:rsidRDefault="002132E8" w:rsidP="002132E8">
            <w:pPr>
              <w:jc w:val="center"/>
              <w:rPr>
                <w:rFonts w:ascii="Century Gothic" w:eastAsia="Microsoft Yi Baiti" w:hAnsi="Century Gothic" w:cs="Arial"/>
                <w:b/>
                <w:sz w:val="16"/>
                <w:szCs w:val="16"/>
              </w:rPr>
            </w:pPr>
            <w:r w:rsidRPr="002132E8">
              <w:rPr>
                <w:rFonts w:ascii="Century Gothic" w:eastAsia="Microsoft Yi Baiti" w:hAnsi="Century Gothic" w:cs="Arial"/>
                <w:b/>
                <w:sz w:val="16"/>
                <w:szCs w:val="16"/>
              </w:rPr>
              <w:t>ACEPTADO</w:t>
            </w:r>
          </w:p>
        </w:tc>
      </w:tr>
    </w:tbl>
    <w:p w14:paraId="4022C632" w14:textId="77777777" w:rsidR="00BC4FC2" w:rsidRDefault="00BC4FC2" w:rsidP="003E59D8">
      <w:pPr>
        <w:tabs>
          <w:tab w:val="left" w:pos="0"/>
          <w:tab w:val="left" w:pos="993"/>
        </w:tabs>
        <w:jc w:val="both"/>
        <w:rPr>
          <w:rFonts w:ascii="Century Gothic" w:eastAsia="Microsoft Yi Baiti" w:hAnsi="Century Gothic" w:cs="Calibri"/>
          <w:sz w:val="16"/>
          <w:szCs w:val="16"/>
        </w:rPr>
      </w:pPr>
    </w:p>
    <w:p w14:paraId="007B2D5E" w14:textId="67106CFA" w:rsidR="007910D1" w:rsidRDefault="007910D1" w:rsidP="003E59D8">
      <w:pPr>
        <w:tabs>
          <w:tab w:val="left" w:pos="0"/>
          <w:tab w:val="left" w:pos="993"/>
        </w:tabs>
        <w:jc w:val="both"/>
        <w:rPr>
          <w:rFonts w:ascii="Century Gothic" w:eastAsia="Microsoft Yi Baiti" w:hAnsi="Century Gothic" w:cs="Arial"/>
          <w:b/>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2132E8" w:rsidRPr="00961F45">
        <w:rPr>
          <w:rFonts w:ascii="Century Gothic" w:eastAsia="Microsoft Yi Baiti" w:hAnsi="Century Gothic" w:cs="Arial"/>
          <w:b/>
          <w:bCs/>
          <w:kern w:val="2"/>
          <w:sz w:val="16"/>
          <w:szCs w:val="16"/>
          <w14:ligatures w14:val="standardContextual"/>
        </w:rPr>
        <w:t>Desarrollo de Proyectos y Construcciones Almada S.A. de C.V.</w:t>
      </w:r>
      <w:r w:rsidR="00B87EA0">
        <w:rPr>
          <w:rFonts w:ascii="Century Gothic" w:eastAsia="Microsoft Yi Baiti" w:hAnsi="Century Gothic" w:cs="Arial"/>
          <w:b/>
          <w:bCs/>
          <w:kern w:val="2"/>
          <w:sz w:val="16"/>
          <w:szCs w:val="16"/>
          <w14:ligatures w14:val="standardContextual"/>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0E828908" w14:textId="2FA58FCC" w:rsidR="00BC4FC2" w:rsidRDefault="00BC4FC2" w:rsidP="003E59D8">
      <w:pPr>
        <w:tabs>
          <w:tab w:val="left" w:pos="0"/>
          <w:tab w:val="left" w:pos="993"/>
        </w:tabs>
        <w:jc w:val="both"/>
        <w:rPr>
          <w:rFonts w:ascii="Century Gothic" w:eastAsia="Microsoft Yi Baiti" w:hAnsi="Century Gothic" w:cs="Arial"/>
          <w:b/>
          <w:sz w:val="16"/>
          <w:szCs w:val="16"/>
        </w:rPr>
      </w:pPr>
    </w:p>
    <w:p w14:paraId="4F2FA21F" w14:textId="77777777" w:rsidR="007910D1" w:rsidRPr="00726EF9" w:rsidRDefault="007910D1"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13:06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716B51F1" w14:textId="77777777" w:rsidR="007910D1" w:rsidRPr="00726EF9" w:rsidRDefault="007910D1" w:rsidP="003E59D8">
      <w:pPr>
        <w:jc w:val="both"/>
        <w:rPr>
          <w:rFonts w:ascii="Century Gothic" w:eastAsia="Microsoft Yi Baiti" w:hAnsi="Century Gothic"/>
          <w:sz w:val="16"/>
          <w:szCs w:val="16"/>
        </w:rPr>
      </w:pPr>
    </w:p>
    <w:p w14:paraId="3D33886E" w14:textId="77777777" w:rsidR="007910D1" w:rsidRPr="00726EF9" w:rsidRDefault="007910D1"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7910D1" w:rsidRPr="00726EF9" w14:paraId="4851DF5D" w14:textId="77777777" w:rsidTr="002E2D0D">
        <w:trPr>
          <w:trHeight w:hRule="exact" w:val="420"/>
        </w:trPr>
        <w:tc>
          <w:tcPr>
            <w:tcW w:w="426" w:type="dxa"/>
            <w:shd w:val="clear" w:color="auto" w:fill="auto"/>
            <w:vAlign w:val="center"/>
          </w:tcPr>
          <w:p w14:paraId="7D05C3CA" w14:textId="77777777" w:rsidR="007910D1" w:rsidRPr="00726EF9" w:rsidRDefault="007910D1" w:rsidP="002E2D0D">
            <w:pPr>
              <w:jc w:val="center"/>
              <w:rPr>
                <w:rFonts w:ascii="Century Gothic" w:eastAsia="Microsoft Yi Baiti" w:hAnsi="Century Gothic" w:cs="Arial"/>
                <w:b/>
                <w:sz w:val="16"/>
                <w:szCs w:val="16"/>
              </w:rPr>
            </w:pPr>
            <w:proofErr w:type="spellStart"/>
            <w:r w:rsidRPr="00726EF9">
              <w:rPr>
                <w:rFonts w:ascii="Century Gothic" w:eastAsia="Microsoft Yi Baiti" w:hAnsi="Century Gothic" w:cs="Arial"/>
                <w:b/>
                <w:sz w:val="16"/>
                <w:szCs w:val="16"/>
              </w:rPr>
              <w:t>N°</w:t>
            </w:r>
            <w:proofErr w:type="spellEnd"/>
          </w:p>
        </w:tc>
        <w:tc>
          <w:tcPr>
            <w:tcW w:w="3273" w:type="dxa"/>
            <w:shd w:val="clear" w:color="auto" w:fill="auto"/>
            <w:vAlign w:val="center"/>
          </w:tcPr>
          <w:p w14:paraId="613528CC" w14:textId="77777777" w:rsidR="007910D1" w:rsidRPr="00726EF9" w:rsidRDefault="007910D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4F6B033C" w14:textId="77777777" w:rsidR="007910D1" w:rsidRPr="00726EF9" w:rsidRDefault="007910D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5767E891" w14:textId="77777777" w:rsidR="007910D1" w:rsidRPr="00726EF9" w:rsidRDefault="007910D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2132E8" w:rsidRPr="00726EF9" w14:paraId="56873F36" w14:textId="77777777" w:rsidTr="002E2D0D">
        <w:trPr>
          <w:trHeight w:val="469"/>
        </w:trPr>
        <w:tc>
          <w:tcPr>
            <w:tcW w:w="426" w:type="dxa"/>
            <w:shd w:val="clear" w:color="auto" w:fill="auto"/>
            <w:vAlign w:val="center"/>
          </w:tcPr>
          <w:p w14:paraId="44A55701" w14:textId="73978E39" w:rsidR="002132E8" w:rsidRPr="00726EF9" w:rsidRDefault="00F61DF1" w:rsidP="002132E8">
            <w:pPr>
              <w:jc w:val="center"/>
              <w:rPr>
                <w:rFonts w:ascii="Century Gothic" w:eastAsia="Microsoft Yi Baiti" w:hAnsi="Century Gothic" w:cs="Arial"/>
                <w:sz w:val="16"/>
                <w:szCs w:val="16"/>
              </w:rPr>
            </w:pPr>
            <w:r>
              <w:rPr>
                <w:rFonts w:ascii="Century Gothic" w:eastAsia="Microsoft Yi Baiti" w:hAnsi="Century Gothic" w:cs="Arial"/>
                <w:sz w:val="16"/>
                <w:szCs w:val="16"/>
              </w:rPr>
              <w:t>1</w:t>
            </w:r>
          </w:p>
        </w:tc>
        <w:tc>
          <w:tcPr>
            <w:tcW w:w="3273" w:type="dxa"/>
            <w:shd w:val="clear" w:color="auto" w:fill="auto"/>
            <w:vAlign w:val="center"/>
          </w:tcPr>
          <w:p w14:paraId="1607AB51" w14:textId="4AFB4AB4" w:rsidR="002132E8" w:rsidRPr="00726EF9" w:rsidRDefault="002132E8" w:rsidP="002132E8">
            <w:pPr>
              <w:jc w:val="both"/>
              <w:rPr>
                <w:rFonts w:ascii="Century Gothic" w:eastAsia="Microsoft Yi Baiti" w:hAnsi="Century Gothic"/>
                <w:b/>
                <w:iCs/>
                <w:noProof/>
                <w:color w:val="0000CC"/>
                <w:sz w:val="16"/>
                <w:szCs w:val="16"/>
              </w:rPr>
            </w:pPr>
            <w:r>
              <w:rPr>
                <w:rFonts w:ascii="Century Gothic" w:eastAsia="Microsoft Yi Baiti" w:hAnsi="Century Gothic" w:cs="Arial"/>
                <w:kern w:val="2"/>
                <w:sz w:val="16"/>
                <w:szCs w:val="16"/>
                <w14:ligatures w14:val="standardContextual"/>
              </w:rPr>
              <w:t>XHOJCHHI y Compañía, S.A. de C.V.</w:t>
            </w:r>
          </w:p>
        </w:tc>
        <w:tc>
          <w:tcPr>
            <w:tcW w:w="3213" w:type="dxa"/>
            <w:shd w:val="clear" w:color="auto" w:fill="auto"/>
            <w:vAlign w:val="center"/>
          </w:tcPr>
          <w:p w14:paraId="3F43EFC2" w14:textId="2F806480" w:rsidR="002132E8" w:rsidRPr="00726EF9" w:rsidRDefault="002132E8" w:rsidP="002132E8">
            <w:pPr>
              <w:rPr>
                <w:rFonts w:ascii="Century Gothic" w:eastAsia="Microsoft Yi Baiti" w:hAnsi="Century Gothic" w:cs="Arial"/>
                <w:sz w:val="16"/>
                <w:szCs w:val="16"/>
              </w:rPr>
            </w:pPr>
          </w:p>
        </w:tc>
        <w:tc>
          <w:tcPr>
            <w:tcW w:w="1985" w:type="dxa"/>
            <w:shd w:val="clear" w:color="auto" w:fill="auto"/>
            <w:vAlign w:val="center"/>
          </w:tcPr>
          <w:p w14:paraId="2C51BB32" w14:textId="77777777" w:rsidR="002132E8" w:rsidRPr="00726EF9" w:rsidRDefault="002132E8" w:rsidP="002132E8">
            <w:pPr>
              <w:jc w:val="center"/>
              <w:rPr>
                <w:rFonts w:ascii="Century Gothic" w:eastAsia="Microsoft Yi Baiti" w:hAnsi="Century Gothic" w:cs="Arial"/>
                <w:b/>
                <w:sz w:val="16"/>
                <w:szCs w:val="16"/>
              </w:rPr>
            </w:pPr>
          </w:p>
        </w:tc>
      </w:tr>
    </w:tbl>
    <w:p w14:paraId="37D3973A" w14:textId="77777777" w:rsidR="007910D1" w:rsidRPr="00726EF9" w:rsidRDefault="007910D1" w:rsidP="003E59D8">
      <w:pPr>
        <w:jc w:val="both"/>
        <w:rPr>
          <w:rFonts w:ascii="Century Gothic" w:eastAsia="Microsoft Yi Baiti" w:hAnsi="Century Gothic" w:cs="Arial"/>
          <w:b/>
          <w:sz w:val="16"/>
          <w:szCs w:val="16"/>
        </w:rPr>
      </w:pPr>
    </w:p>
    <w:p w14:paraId="4B5D5952" w14:textId="77777777" w:rsidR="007910D1" w:rsidRPr="00726EF9" w:rsidRDefault="007910D1"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5738830B" w14:textId="77777777" w:rsidR="007910D1" w:rsidRPr="00726EF9" w:rsidRDefault="007910D1" w:rsidP="003E59D8">
      <w:pPr>
        <w:jc w:val="both"/>
        <w:rPr>
          <w:rFonts w:ascii="Century Gothic" w:eastAsia="Microsoft Yi Baiti" w:hAnsi="Century Gothic"/>
          <w:sz w:val="16"/>
          <w:szCs w:val="16"/>
        </w:rPr>
      </w:pPr>
    </w:p>
    <w:p w14:paraId="1CA393B3" w14:textId="77777777" w:rsidR="00156593" w:rsidRDefault="00156593" w:rsidP="003E59D8">
      <w:pPr>
        <w:tabs>
          <w:tab w:val="left" w:pos="1053"/>
        </w:tabs>
        <w:jc w:val="center"/>
        <w:rPr>
          <w:rFonts w:ascii="Century Gothic" w:eastAsia="Microsoft Yi Baiti" w:hAnsi="Century Gothic" w:cs="Arial"/>
          <w:b/>
          <w:sz w:val="16"/>
          <w:szCs w:val="16"/>
        </w:rPr>
      </w:pPr>
    </w:p>
    <w:p w14:paraId="6E62AD6B" w14:textId="77777777" w:rsidR="00156593" w:rsidRDefault="00156593" w:rsidP="003E59D8">
      <w:pPr>
        <w:tabs>
          <w:tab w:val="left" w:pos="1053"/>
        </w:tabs>
        <w:jc w:val="center"/>
        <w:rPr>
          <w:rFonts w:ascii="Century Gothic" w:eastAsia="Microsoft Yi Baiti" w:hAnsi="Century Gothic" w:cs="Arial"/>
          <w:b/>
          <w:sz w:val="16"/>
          <w:szCs w:val="16"/>
        </w:rPr>
      </w:pPr>
    </w:p>
    <w:p w14:paraId="26444C53" w14:textId="77777777" w:rsidR="00156593" w:rsidRDefault="00156593" w:rsidP="003E59D8">
      <w:pPr>
        <w:tabs>
          <w:tab w:val="left" w:pos="1053"/>
        </w:tabs>
        <w:jc w:val="center"/>
        <w:rPr>
          <w:rFonts w:ascii="Century Gothic" w:eastAsia="Microsoft Yi Baiti" w:hAnsi="Century Gothic" w:cs="Arial"/>
          <w:b/>
          <w:sz w:val="16"/>
          <w:szCs w:val="16"/>
        </w:rPr>
      </w:pPr>
    </w:p>
    <w:p w14:paraId="1EDCFD51" w14:textId="77777777" w:rsidR="00156593" w:rsidRDefault="00156593" w:rsidP="003E59D8">
      <w:pPr>
        <w:tabs>
          <w:tab w:val="left" w:pos="1053"/>
        </w:tabs>
        <w:jc w:val="center"/>
        <w:rPr>
          <w:rFonts w:ascii="Century Gothic" w:eastAsia="Microsoft Yi Baiti" w:hAnsi="Century Gothic" w:cs="Arial"/>
          <w:b/>
          <w:sz w:val="16"/>
          <w:szCs w:val="16"/>
        </w:rPr>
      </w:pPr>
    </w:p>
    <w:p w14:paraId="37D68EC0" w14:textId="77777777" w:rsidR="00156593" w:rsidRDefault="00156593" w:rsidP="003E59D8">
      <w:pPr>
        <w:tabs>
          <w:tab w:val="left" w:pos="1053"/>
        </w:tabs>
        <w:jc w:val="center"/>
        <w:rPr>
          <w:rFonts w:ascii="Century Gothic" w:eastAsia="Microsoft Yi Baiti" w:hAnsi="Century Gothic" w:cs="Arial"/>
          <w:b/>
          <w:sz w:val="16"/>
          <w:szCs w:val="16"/>
        </w:rPr>
      </w:pPr>
    </w:p>
    <w:p w14:paraId="740A26FB" w14:textId="77777777" w:rsidR="00156593" w:rsidRDefault="00156593" w:rsidP="003E59D8">
      <w:pPr>
        <w:tabs>
          <w:tab w:val="left" w:pos="1053"/>
        </w:tabs>
        <w:jc w:val="center"/>
        <w:rPr>
          <w:rFonts w:ascii="Century Gothic" w:eastAsia="Microsoft Yi Baiti" w:hAnsi="Century Gothic" w:cs="Arial"/>
          <w:b/>
          <w:sz w:val="16"/>
          <w:szCs w:val="16"/>
        </w:rPr>
      </w:pPr>
    </w:p>
    <w:p w14:paraId="2E08182F" w14:textId="566B78E7" w:rsidR="007910D1" w:rsidRPr="00726EF9" w:rsidRDefault="007910D1"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lastRenderedPageBreak/>
        <w:t>POR EL MUNICIPIO DE OAXACA DE JUÁREZ</w:t>
      </w:r>
    </w:p>
    <w:p w14:paraId="07949F17" w14:textId="77777777" w:rsidR="007910D1" w:rsidRPr="00726EF9" w:rsidRDefault="007910D1"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910D1" w:rsidRPr="00726EF9" w14:paraId="5E48B52D" w14:textId="77777777" w:rsidTr="002E2D0D">
        <w:trPr>
          <w:trHeight w:hRule="exact" w:val="314"/>
        </w:trPr>
        <w:tc>
          <w:tcPr>
            <w:tcW w:w="3901" w:type="dxa"/>
            <w:shd w:val="clear" w:color="auto" w:fill="auto"/>
          </w:tcPr>
          <w:p w14:paraId="6BA7EAED" w14:textId="77777777" w:rsidR="007910D1" w:rsidRPr="00726EF9" w:rsidRDefault="007910D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23EC816F" w14:textId="77777777" w:rsidR="007910D1" w:rsidRPr="00726EF9" w:rsidRDefault="007910D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432E3233" w14:textId="77777777" w:rsidR="007910D1" w:rsidRPr="00726EF9" w:rsidRDefault="007910D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7910D1" w:rsidRPr="00726EF9" w14:paraId="4D93718A" w14:textId="77777777" w:rsidTr="002E2D0D">
        <w:trPr>
          <w:trHeight w:val="681"/>
        </w:trPr>
        <w:tc>
          <w:tcPr>
            <w:tcW w:w="3901" w:type="dxa"/>
            <w:shd w:val="clear" w:color="auto" w:fill="auto"/>
            <w:vAlign w:val="center"/>
          </w:tcPr>
          <w:p w14:paraId="265B79B5" w14:textId="77777777" w:rsidR="007910D1" w:rsidRPr="00726EF9" w:rsidRDefault="007910D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E58DFFC" w14:textId="77777777" w:rsidR="007910D1" w:rsidRPr="00726EF9" w:rsidRDefault="007910D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295881C" w14:textId="77777777" w:rsidR="007910D1" w:rsidRPr="00726EF9" w:rsidRDefault="007910D1" w:rsidP="002E2D0D">
            <w:pPr>
              <w:rPr>
                <w:rFonts w:ascii="Century Gothic" w:eastAsia="Microsoft Yi Baiti" w:hAnsi="Century Gothic" w:cs="Arial"/>
                <w:b/>
                <w:sz w:val="16"/>
                <w:szCs w:val="16"/>
              </w:rPr>
            </w:pPr>
          </w:p>
        </w:tc>
      </w:tr>
      <w:tr w:rsidR="007910D1" w:rsidRPr="00726EF9" w14:paraId="388776F9" w14:textId="77777777" w:rsidTr="002E2D0D">
        <w:trPr>
          <w:trHeight w:val="681"/>
        </w:trPr>
        <w:tc>
          <w:tcPr>
            <w:tcW w:w="3901" w:type="dxa"/>
            <w:shd w:val="clear" w:color="auto" w:fill="auto"/>
            <w:vAlign w:val="center"/>
          </w:tcPr>
          <w:p w14:paraId="2C778D08" w14:textId="77777777" w:rsidR="007910D1" w:rsidRPr="00726EF9" w:rsidRDefault="007910D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016A33D7" w14:textId="77777777" w:rsidR="007910D1" w:rsidRPr="00726EF9" w:rsidRDefault="007910D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625380F7" w14:textId="77777777" w:rsidR="007910D1" w:rsidRPr="00726EF9" w:rsidRDefault="007910D1" w:rsidP="002E2D0D">
            <w:pPr>
              <w:rPr>
                <w:rFonts w:ascii="Century Gothic" w:eastAsia="Microsoft Yi Baiti" w:hAnsi="Century Gothic" w:cs="Arial"/>
                <w:b/>
                <w:sz w:val="16"/>
                <w:szCs w:val="16"/>
              </w:rPr>
            </w:pPr>
          </w:p>
        </w:tc>
      </w:tr>
      <w:tr w:rsidR="002132E8" w:rsidRPr="00726EF9" w14:paraId="28569202" w14:textId="77777777" w:rsidTr="002E2D0D">
        <w:trPr>
          <w:trHeight w:val="681"/>
        </w:trPr>
        <w:tc>
          <w:tcPr>
            <w:tcW w:w="3901" w:type="dxa"/>
            <w:shd w:val="clear" w:color="auto" w:fill="auto"/>
            <w:vAlign w:val="center"/>
          </w:tcPr>
          <w:p w14:paraId="3FEBFB55" w14:textId="17C25CFD" w:rsidR="002132E8" w:rsidRPr="003E59D8" w:rsidRDefault="002132E8" w:rsidP="002132E8">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5B15D3A7" w14:textId="495B8C40" w:rsidR="002132E8" w:rsidRPr="003E59D8" w:rsidRDefault="002132E8" w:rsidP="002132E8">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6F659D75" w14:textId="77777777" w:rsidR="002132E8" w:rsidRPr="00726EF9" w:rsidRDefault="002132E8" w:rsidP="002132E8">
            <w:pPr>
              <w:rPr>
                <w:rFonts w:ascii="Century Gothic" w:eastAsia="Microsoft Yi Baiti" w:hAnsi="Century Gothic" w:cs="Arial"/>
                <w:b/>
                <w:sz w:val="16"/>
                <w:szCs w:val="16"/>
              </w:rPr>
            </w:pPr>
          </w:p>
        </w:tc>
      </w:tr>
    </w:tbl>
    <w:p w14:paraId="1C2C1DFC" w14:textId="77777777" w:rsidR="007910D1" w:rsidRPr="00726EF9" w:rsidRDefault="007910D1" w:rsidP="003E59D8">
      <w:pPr>
        <w:jc w:val="both"/>
        <w:rPr>
          <w:rFonts w:ascii="Century Gothic" w:eastAsia="Microsoft Yi Baiti" w:hAnsi="Century Gothic"/>
          <w:sz w:val="16"/>
          <w:szCs w:val="16"/>
        </w:rPr>
      </w:pPr>
    </w:p>
    <w:p w14:paraId="63871C6B" w14:textId="77777777" w:rsidR="007910D1" w:rsidRPr="00726EF9" w:rsidRDefault="007910D1"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LPE/SOPDU/DCSCOP/016/2025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2132E8">
        <w:rPr>
          <w:rFonts w:ascii="Century Gothic" w:hAnsi="Century Gothic"/>
          <w:b/>
          <w:bCs/>
          <w:noProof/>
          <w:color w:val="0000FF"/>
          <w:sz w:val="16"/>
          <w:szCs w:val="16"/>
        </w:rPr>
        <w:t>CONSTRUCCIÓN DE TECHADO EN ESCUELA TELESECUNDARIA CON CLAVE DE CENTRO DE TRABAJO 20DTV0424P UBICADA EN AGENCIA MUNICIPAL DE TRINIDAD DE VIGUERA, MUNICIPIO DE OAXACA DE JUÁREZ, OAXACA</w:t>
      </w:r>
      <w:r w:rsidRPr="00BE1D91">
        <w:rPr>
          <w:rFonts w:ascii="Century Gothic" w:hAnsi="Century Gothic"/>
          <w:noProof/>
          <w:color w:val="0000FF"/>
          <w:sz w:val="16"/>
          <w:szCs w:val="16"/>
        </w:rPr>
        <w:t>.</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28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515A26D6" w14:textId="77777777" w:rsidR="007910D1" w:rsidRPr="00726EF9" w:rsidRDefault="007910D1" w:rsidP="003E59D8">
      <w:pPr>
        <w:autoSpaceDE w:val="0"/>
        <w:autoSpaceDN w:val="0"/>
        <w:adjustRightInd w:val="0"/>
        <w:jc w:val="both"/>
        <w:rPr>
          <w:rFonts w:ascii="Century Gothic" w:eastAsia="Microsoft Yi Baiti" w:hAnsi="Century Gothic" w:cs="Arial"/>
          <w:sz w:val="16"/>
          <w:szCs w:val="16"/>
        </w:rPr>
      </w:pPr>
    </w:p>
    <w:p w14:paraId="0A90C426" w14:textId="77777777" w:rsidR="007910D1" w:rsidRDefault="007910D1" w:rsidP="003E59D8">
      <w:pPr>
        <w:sectPr w:rsidR="007910D1" w:rsidSect="007910D1">
          <w:headerReference w:type="default" r:id="rId7"/>
          <w:footerReference w:type="default" r:id="rId8"/>
          <w:pgSz w:w="12240" w:h="15840"/>
          <w:pgMar w:top="2127" w:right="1701" w:bottom="1560" w:left="1701" w:header="708" w:footer="708" w:gutter="0"/>
          <w:pgNumType w:start="1"/>
          <w:cols w:space="708"/>
          <w:docGrid w:linePitch="360"/>
        </w:sectPr>
      </w:pPr>
    </w:p>
    <w:p w14:paraId="6EC1A890" w14:textId="77777777" w:rsidR="007910D1" w:rsidRPr="003E59D8" w:rsidRDefault="007910D1" w:rsidP="003E59D8"/>
    <w:sectPr w:rsidR="007910D1" w:rsidRPr="003E59D8" w:rsidSect="007910D1">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D0AA" w14:textId="77777777" w:rsidR="00816538" w:rsidRDefault="00816538" w:rsidP="00F74B45">
      <w:r>
        <w:separator/>
      </w:r>
    </w:p>
  </w:endnote>
  <w:endnote w:type="continuationSeparator" w:id="0">
    <w:p w14:paraId="5C074F07" w14:textId="77777777" w:rsidR="00816538" w:rsidRDefault="00816538"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E9AE" w14:textId="263E4652" w:rsidR="007910D1" w:rsidRDefault="007910D1"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F61DF1">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F61DF1">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447774FA" w14:textId="77777777" w:rsidR="007910D1" w:rsidRPr="00F66153" w:rsidRDefault="007910D1">
    <w:pPr>
      <w:pStyle w:val="Piedepgina"/>
      <w:rPr>
        <w:rFonts w:ascii="Century Gothic" w:eastAsia="Microsoft Yi Baiti" w:hAnsi="Century Gothic"/>
        <w:b/>
        <w:bCs/>
        <w:color w:val="323E4F" w:themeColor="text2" w:themeShade="BF"/>
        <w:sz w:val="14"/>
      </w:rPr>
    </w:pPr>
  </w:p>
  <w:p w14:paraId="35CF8093" w14:textId="77777777" w:rsidR="007910D1" w:rsidRDefault="007910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4D0B" w14:textId="228F058F"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D90517">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CF6654">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77657490" w14:textId="77777777" w:rsidR="005D5B45" w:rsidRPr="00F66153" w:rsidRDefault="005D5B45">
    <w:pPr>
      <w:pStyle w:val="Piedepgina"/>
      <w:rPr>
        <w:rFonts w:ascii="Century Gothic" w:eastAsia="Microsoft Yi Baiti" w:hAnsi="Century Gothic"/>
        <w:b/>
        <w:bCs/>
        <w:color w:val="323E4F" w:themeColor="text2" w:themeShade="BF"/>
        <w:sz w:val="14"/>
      </w:rPr>
    </w:pPr>
  </w:p>
  <w:p w14:paraId="0A35A2CA"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411D" w14:textId="77777777" w:rsidR="00816538" w:rsidRDefault="00816538" w:rsidP="00F74B45">
      <w:r>
        <w:separator/>
      </w:r>
    </w:p>
  </w:footnote>
  <w:footnote w:type="continuationSeparator" w:id="0">
    <w:p w14:paraId="74B3625F" w14:textId="77777777" w:rsidR="00816538" w:rsidRDefault="00816538"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D8E9" w14:textId="77777777" w:rsidR="007910D1" w:rsidRDefault="007910D1">
    <w:pPr>
      <w:pStyle w:val="Encabezado"/>
    </w:pPr>
    <w:r>
      <w:rPr>
        <w:noProof/>
        <w:lang w:eastAsia="es-MX"/>
      </w:rPr>
      <mc:AlternateContent>
        <mc:Choice Requires="wpg">
          <w:drawing>
            <wp:anchor distT="0" distB="0" distL="114300" distR="114300" simplePos="0" relativeHeight="251661312" behindDoc="1" locked="0" layoutInCell="1" allowOverlap="1" wp14:anchorId="78008543" wp14:editId="470565A8">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3F0E50A1" w14:textId="77777777" w:rsidR="007910D1" w:rsidRPr="00AF7F37" w:rsidRDefault="007910D1"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008543"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3F0E50A1" w14:textId="77777777" w:rsidR="007910D1" w:rsidRPr="00AF7F37" w:rsidRDefault="007910D1"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85B4459" w14:textId="77777777" w:rsidR="007910D1" w:rsidRDefault="007910D1">
    <w:pPr>
      <w:pStyle w:val="Encabezado"/>
    </w:pPr>
  </w:p>
  <w:p w14:paraId="105A0525" w14:textId="77777777" w:rsidR="007910D1" w:rsidRDefault="007910D1" w:rsidP="007217C6">
    <w:pPr>
      <w:pStyle w:val="Encabezado"/>
      <w:jc w:val="center"/>
      <w:rPr>
        <w:rFonts w:ascii="Century Gothic" w:hAnsi="Century Gothic"/>
        <w:sz w:val="16"/>
        <w:szCs w:val="16"/>
      </w:rPr>
    </w:pPr>
  </w:p>
  <w:p w14:paraId="688404C0" w14:textId="77777777" w:rsidR="007910D1" w:rsidRDefault="007910D1"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AF2F"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3519C3DC" wp14:editId="387BA2FE">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5162765"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19C3DC"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5162765"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60F5B25" w14:textId="77777777" w:rsidR="004C723B" w:rsidRDefault="004C723B">
    <w:pPr>
      <w:pStyle w:val="Encabezado"/>
    </w:pPr>
  </w:p>
  <w:p w14:paraId="66284F57" w14:textId="77777777" w:rsidR="007217C6" w:rsidRDefault="007217C6" w:rsidP="007217C6">
    <w:pPr>
      <w:pStyle w:val="Encabezado"/>
      <w:jc w:val="center"/>
      <w:rPr>
        <w:rFonts w:ascii="Century Gothic" w:hAnsi="Century Gothic"/>
        <w:sz w:val="16"/>
        <w:szCs w:val="16"/>
      </w:rPr>
    </w:pPr>
  </w:p>
  <w:p w14:paraId="33789F96"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B63BF"/>
    <w:rsid w:val="000C2C85"/>
    <w:rsid w:val="000C5815"/>
    <w:rsid w:val="001148E9"/>
    <w:rsid w:val="00156593"/>
    <w:rsid w:val="001615C8"/>
    <w:rsid w:val="00165A02"/>
    <w:rsid w:val="00176083"/>
    <w:rsid w:val="00183B6B"/>
    <w:rsid w:val="00194D28"/>
    <w:rsid w:val="001972EB"/>
    <w:rsid w:val="0019788C"/>
    <w:rsid w:val="002132E8"/>
    <w:rsid w:val="00217290"/>
    <w:rsid w:val="0023543E"/>
    <w:rsid w:val="00253F41"/>
    <w:rsid w:val="00260F51"/>
    <w:rsid w:val="00261CC2"/>
    <w:rsid w:val="00272278"/>
    <w:rsid w:val="00272397"/>
    <w:rsid w:val="002B7600"/>
    <w:rsid w:val="002C2A72"/>
    <w:rsid w:val="002C6717"/>
    <w:rsid w:val="002F7514"/>
    <w:rsid w:val="003050D8"/>
    <w:rsid w:val="00333433"/>
    <w:rsid w:val="00344DE8"/>
    <w:rsid w:val="0037063B"/>
    <w:rsid w:val="00394D58"/>
    <w:rsid w:val="003E59D8"/>
    <w:rsid w:val="003E7888"/>
    <w:rsid w:val="00400F45"/>
    <w:rsid w:val="00402CCC"/>
    <w:rsid w:val="00411767"/>
    <w:rsid w:val="004356AC"/>
    <w:rsid w:val="0044537E"/>
    <w:rsid w:val="0045051F"/>
    <w:rsid w:val="00460B23"/>
    <w:rsid w:val="00472036"/>
    <w:rsid w:val="004900FC"/>
    <w:rsid w:val="004A4F30"/>
    <w:rsid w:val="004C14FF"/>
    <w:rsid w:val="004C723B"/>
    <w:rsid w:val="005067EF"/>
    <w:rsid w:val="0051466B"/>
    <w:rsid w:val="00540089"/>
    <w:rsid w:val="00565E3F"/>
    <w:rsid w:val="00577E90"/>
    <w:rsid w:val="00580561"/>
    <w:rsid w:val="005847EC"/>
    <w:rsid w:val="00587298"/>
    <w:rsid w:val="005B15DA"/>
    <w:rsid w:val="005C0E41"/>
    <w:rsid w:val="005C3E45"/>
    <w:rsid w:val="005D5B45"/>
    <w:rsid w:val="00602334"/>
    <w:rsid w:val="0061424E"/>
    <w:rsid w:val="006255DA"/>
    <w:rsid w:val="006C20E8"/>
    <w:rsid w:val="006D00E9"/>
    <w:rsid w:val="007002FB"/>
    <w:rsid w:val="007113A8"/>
    <w:rsid w:val="007217C6"/>
    <w:rsid w:val="00726EF9"/>
    <w:rsid w:val="007333D0"/>
    <w:rsid w:val="00735A51"/>
    <w:rsid w:val="007426BC"/>
    <w:rsid w:val="007519CC"/>
    <w:rsid w:val="00763E4F"/>
    <w:rsid w:val="00770049"/>
    <w:rsid w:val="007840FA"/>
    <w:rsid w:val="007910D1"/>
    <w:rsid w:val="007C6189"/>
    <w:rsid w:val="007C6BAB"/>
    <w:rsid w:val="007E0E35"/>
    <w:rsid w:val="007F25CB"/>
    <w:rsid w:val="007F591B"/>
    <w:rsid w:val="00816538"/>
    <w:rsid w:val="00823120"/>
    <w:rsid w:val="00825D7F"/>
    <w:rsid w:val="00830C96"/>
    <w:rsid w:val="00842CC0"/>
    <w:rsid w:val="00865339"/>
    <w:rsid w:val="008B6B8C"/>
    <w:rsid w:val="008F1D6D"/>
    <w:rsid w:val="009245E8"/>
    <w:rsid w:val="00956930"/>
    <w:rsid w:val="00957322"/>
    <w:rsid w:val="009C3ABC"/>
    <w:rsid w:val="009E43CC"/>
    <w:rsid w:val="00A403F4"/>
    <w:rsid w:val="00A4044E"/>
    <w:rsid w:val="00A405A7"/>
    <w:rsid w:val="00A44B81"/>
    <w:rsid w:val="00A56C0B"/>
    <w:rsid w:val="00A85653"/>
    <w:rsid w:val="00A942B6"/>
    <w:rsid w:val="00AA0943"/>
    <w:rsid w:val="00AB28E4"/>
    <w:rsid w:val="00AE5356"/>
    <w:rsid w:val="00B03D17"/>
    <w:rsid w:val="00B27571"/>
    <w:rsid w:val="00B730D9"/>
    <w:rsid w:val="00B8711D"/>
    <w:rsid w:val="00B87EA0"/>
    <w:rsid w:val="00B912EF"/>
    <w:rsid w:val="00BC0A55"/>
    <w:rsid w:val="00BC4FC2"/>
    <w:rsid w:val="00BD24BD"/>
    <w:rsid w:val="00C206AC"/>
    <w:rsid w:val="00C830A1"/>
    <w:rsid w:val="00CA1567"/>
    <w:rsid w:val="00CF59B4"/>
    <w:rsid w:val="00CF6654"/>
    <w:rsid w:val="00D0450A"/>
    <w:rsid w:val="00D26B02"/>
    <w:rsid w:val="00D32195"/>
    <w:rsid w:val="00D631E2"/>
    <w:rsid w:val="00D70655"/>
    <w:rsid w:val="00D90517"/>
    <w:rsid w:val="00D91F1B"/>
    <w:rsid w:val="00DA0E13"/>
    <w:rsid w:val="00DD7740"/>
    <w:rsid w:val="00DF205B"/>
    <w:rsid w:val="00E11DFE"/>
    <w:rsid w:val="00E51782"/>
    <w:rsid w:val="00E5485C"/>
    <w:rsid w:val="00E62533"/>
    <w:rsid w:val="00E82A8B"/>
    <w:rsid w:val="00EF1F09"/>
    <w:rsid w:val="00F0071F"/>
    <w:rsid w:val="00F00EF6"/>
    <w:rsid w:val="00F45D65"/>
    <w:rsid w:val="00F6010F"/>
    <w:rsid w:val="00F61DF1"/>
    <w:rsid w:val="00F66153"/>
    <w:rsid w:val="00F72A5E"/>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D9C2F"/>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AE53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535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1347</Words>
  <Characters>7412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42</cp:revision>
  <cp:lastPrinted>2025-11-28T17:21:00Z</cp:lastPrinted>
  <dcterms:created xsi:type="dcterms:W3CDTF">2025-11-21T22:07:00Z</dcterms:created>
  <dcterms:modified xsi:type="dcterms:W3CDTF">2025-12-04T21:54:00Z</dcterms:modified>
</cp:coreProperties>
</file>