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39EC" w14:textId="77777777" w:rsidR="00E34C00" w:rsidRDefault="00301243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38688" behindDoc="1" locked="0" layoutInCell="1" allowOverlap="1" wp14:anchorId="3F12F39D" wp14:editId="55189F08">
            <wp:simplePos x="0" y="0"/>
            <wp:positionH relativeFrom="page">
              <wp:posOffset>11432</wp:posOffset>
            </wp:positionH>
            <wp:positionV relativeFrom="page">
              <wp:posOffset>302903</wp:posOffset>
            </wp:positionV>
            <wp:extent cx="7752714" cy="96220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714" cy="962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6BBDF" w14:textId="77777777" w:rsidR="00E34C00" w:rsidRDefault="00E34C00">
      <w:pPr>
        <w:pStyle w:val="Textoindependiente"/>
        <w:spacing w:before="45"/>
        <w:rPr>
          <w:rFonts w:ascii="Times New Roman"/>
        </w:rPr>
      </w:pPr>
    </w:p>
    <w:p w14:paraId="31A22924" w14:textId="77777777" w:rsidR="00E34C00" w:rsidRDefault="00301243">
      <w:pPr>
        <w:pStyle w:val="Textoindependiente"/>
        <w:ind w:right="3"/>
        <w:jc w:val="center"/>
      </w:pPr>
      <w:r>
        <w:t>INFORME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REGIDURÍA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rPr>
          <w:spacing w:val="-2"/>
        </w:rPr>
        <w:t>CIVIL.</w:t>
      </w:r>
    </w:p>
    <w:p w14:paraId="35110D5D" w14:textId="77777777" w:rsidR="00E34C00" w:rsidRDefault="00E34C00">
      <w:pPr>
        <w:pStyle w:val="Textoindependiente"/>
        <w:spacing w:before="289"/>
      </w:pPr>
    </w:p>
    <w:p w14:paraId="6A3A86F8" w14:textId="77777777" w:rsidR="00E34C00" w:rsidRDefault="00301243">
      <w:pPr>
        <w:ind w:left="262" w:right="4188"/>
        <w:rPr>
          <w:b/>
          <w:sz w:val="24"/>
        </w:rPr>
      </w:pPr>
      <w:r>
        <w:rPr>
          <w:b/>
          <w:sz w:val="24"/>
        </w:rPr>
        <w:t xml:space="preserve">Mtro. Alexander Pérez Cabrera </w:t>
      </w:r>
      <w:proofErr w:type="gramStart"/>
      <w:r>
        <w:rPr>
          <w:b/>
          <w:sz w:val="24"/>
        </w:rPr>
        <w:t>Secretario</w:t>
      </w:r>
      <w:proofErr w:type="gram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Ayuntamiento.</w:t>
      </w:r>
    </w:p>
    <w:p w14:paraId="6258BE4B" w14:textId="77777777" w:rsidR="00E34C00" w:rsidRDefault="00E34C00">
      <w:pPr>
        <w:pStyle w:val="Textoindependiente"/>
        <w:rPr>
          <w:b/>
        </w:rPr>
      </w:pPr>
    </w:p>
    <w:p w14:paraId="01893A29" w14:textId="77777777" w:rsidR="00E34C00" w:rsidRDefault="00301243">
      <w:pPr>
        <w:pStyle w:val="Textoindependiente"/>
        <w:ind w:left="262" w:right="265" w:firstLine="707"/>
        <w:jc w:val="both"/>
      </w:pPr>
      <w:r>
        <w:t>A continuación, expresó a Usted las actividades que como Regidor de Protección Civil he desempaño en el primer año de ejercicio legal cumpliendo con ello la normatividad vigente.</w:t>
      </w:r>
    </w:p>
    <w:p w14:paraId="0888F47D" w14:textId="77777777" w:rsidR="00E34C00" w:rsidRDefault="00E34C00">
      <w:pPr>
        <w:pStyle w:val="Textoindependiente"/>
        <w:spacing w:before="1"/>
      </w:pPr>
    </w:p>
    <w:p w14:paraId="09181EBB" w14:textId="77777777" w:rsidR="00E34C00" w:rsidRDefault="00301243">
      <w:pPr>
        <w:pStyle w:val="Textoindependiente"/>
        <w:ind w:left="262" w:right="263" w:firstLine="707"/>
        <w:jc w:val="both"/>
      </w:pPr>
      <w:r>
        <w:t xml:space="preserve">Participe en 45 de las 46 Sesiones Ordinarias de Cabildo, en las 17 </w:t>
      </w:r>
      <w:r>
        <w:rPr>
          <w:spacing w:val="-2"/>
        </w:rPr>
        <w:t>extraord</w:t>
      </w:r>
      <w:r>
        <w:rPr>
          <w:spacing w:val="-2"/>
        </w:rPr>
        <w:t>inarias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4</w:t>
      </w:r>
      <w:r>
        <w:rPr>
          <w:spacing w:val="-11"/>
        </w:rPr>
        <w:t xml:space="preserve"> </w:t>
      </w:r>
      <w:r>
        <w:rPr>
          <w:spacing w:val="-2"/>
        </w:rPr>
        <w:t>solemnes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fui</w:t>
      </w:r>
      <w:r>
        <w:rPr>
          <w:spacing w:val="-11"/>
        </w:rPr>
        <w:t xml:space="preserve"> </w:t>
      </w:r>
      <w:r>
        <w:rPr>
          <w:spacing w:val="-2"/>
        </w:rPr>
        <w:t>convocado</w:t>
      </w:r>
      <w:r>
        <w:rPr>
          <w:spacing w:val="-11"/>
        </w:rPr>
        <w:t xml:space="preserve"> </w:t>
      </w:r>
      <w:r>
        <w:rPr>
          <w:spacing w:val="-2"/>
        </w:rPr>
        <w:t>teniendo</w:t>
      </w:r>
      <w:r>
        <w:rPr>
          <w:spacing w:val="-12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 xml:space="preserve">participación </w:t>
      </w:r>
      <w:r>
        <w:t>activa con voz y voto en el 95% de ellas.</w:t>
      </w:r>
    </w:p>
    <w:p w14:paraId="7D5F9734" w14:textId="77777777" w:rsidR="00E34C00" w:rsidRDefault="00E34C00">
      <w:pPr>
        <w:pStyle w:val="Textoindependiente"/>
      </w:pPr>
    </w:p>
    <w:p w14:paraId="57388EFA" w14:textId="77777777" w:rsidR="00E34C00" w:rsidRDefault="00301243">
      <w:pPr>
        <w:pStyle w:val="Textoindependiente"/>
        <w:ind w:left="262" w:right="257" w:firstLine="707"/>
        <w:jc w:val="both"/>
      </w:pPr>
      <w:r>
        <w:t xml:space="preserve">Se recibieron y atendieron en las oficinas de la Regiduría más de 150 peticiones de trámites mismas que fueron turnadas a las oficinas </w:t>
      </w:r>
      <w:r>
        <w:t>correspondientes del ayuntamiento y se dieron puntual seguimiento hasta su respuesta favorable.</w:t>
      </w:r>
    </w:p>
    <w:p w14:paraId="2FD1F067" w14:textId="77777777" w:rsidR="00E34C00" w:rsidRDefault="00301243">
      <w:pPr>
        <w:pStyle w:val="Textoindependiente"/>
        <w:spacing w:before="288"/>
        <w:ind w:left="262" w:right="263" w:firstLine="707"/>
        <w:jc w:val="both"/>
      </w:pPr>
      <w:r>
        <w:t>En las primeras sesiones de Cabildo manifesté mi inconformidad por la distribución de regidurías lo que vulneraba la Constitución política del estado en el apar</w:t>
      </w:r>
      <w:r>
        <w:t>tado de la Ley Municipal. Sin embargo, a pesar de mis argumentos no se permitió a los regidores de oposición participar en las comisiones de mayor relevancia y fiscalización.</w:t>
      </w:r>
    </w:p>
    <w:p w14:paraId="24006242" w14:textId="77777777" w:rsidR="00E34C00" w:rsidRDefault="00E34C00">
      <w:pPr>
        <w:pStyle w:val="Textoindependiente"/>
      </w:pPr>
    </w:p>
    <w:p w14:paraId="3DC6325A" w14:textId="77777777" w:rsidR="00E34C00" w:rsidRDefault="00E34C00">
      <w:pPr>
        <w:pStyle w:val="Textoindependiente"/>
        <w:spacing w:before="1"/>
      </w:pPr>
    </w:p>
    <w:p w14:paraId="77867F42" w14:textId="77777777" w:rsidR="00E34C00" w:rsidRDefault="00301243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  <w:rPr>
          <w:sz w:val="24"/>
        </w:rPr>
      </w:pPr>
      <w:r>
        <w:rPr>
          <w:sz w:val="24"/>
        </w:rPr>
        <w:t>PROPUSE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SESIÓN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CABILDO</w:t>
      </w:r>
    </w:p>
    <w:p w14:paraId="7DCCFBA3" w14:textId="77777777" w:rsidR="00E34C00" w:rsidRDefault="00E34C00">
      <w:pPr>
        <w:pStyle w:val="Textoindependiente"/>
      </w:pPr>
    </w:p>
    <w:p w14:paraId="3BDE9560" w14:textId="77777777" w:rsidR="00E34C00" w:rsidRDefault="00301243">
      <w:pPr>
        <w:pStyle w:val="Textoindependiente"/>
        <w:ind w:left="262" w:right="266" w:firstLine="359"/>
        <w:jc w:val="both"/>
      </w:pPr>
      <w:r>
        <w:t>Un punto de acuerdo para exhortar al municipio a modificar la ley de ingresos con el objeto de evitar cobros excesivos en el servicio de limpia municipal.</w:t>
      </w:r>
    </w:p>
    <w:p w14:paraId="651552C6" w14:textId="77777777" w:rsidR="00E34C00" w:rsidRDefault="00E34C00">
      <w:pPr>
        <w:pStyle w:val="Textoindependiente"/>
      </w:pPr>
    </w:p>
    <w:p w14:paraId="7E155A08" w14:textId="77777777" w:rsidR="00E34C00" w:rsidRDefault="00301243">
      <w:pPr>
        <w:pStyle w:val="Textoindependiente"/>
        <w:spacing w:before="1"/>
        <w:ind w:left="262" w:right="258" w:firstLine="359"/>
        <w:jc w:val="both"/>
      </w:pPr>
      <w:r>
        <w:t>Me</w:t>
      </w:r>
      <w:r>
        <w:rPr>
          <w:spacing w:val="-2"/>
        </w:rPr>
        <w:t xml:space="preserve"> </w:t>
      </w:r>
      <w:r>
        <w:t>sume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iniciativa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modificar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respectivo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sustitución de los comités de </w:t>
      </w:r>
      <w:r>
        <w:t>vida vecinal lo cual se había convertido en una figura obsoleta y con escasa participación ciudadana.</w:t>
      </w:r>
    </w:p>
    <w:p w14:paraId="142BD886" w14:textId="77777777" w:rsidR="00E34C00" w:rsidRDefault="00E34C00">
      <w:pPr>
        <w:pStyle w:val="Textoindependiente"/>
      </w:pPr>
    </w:p>
    <w:p w14:paraId="711E4AA5" w14:textId="77777777" w:rsidR="00E34C00" w:rsidRDefault="00301243">
      <w:pPr>
        <w:pStyle w:val="Textoindependiente"/>
        <w:ind w:left="262" w:right="259" w:firstLine="359"/>
        <w:jc w:val="both"/>
      </w:pPr>
      <w:r>
        <w:t>Promoví</w:t>
      </w:r>
      <w:r>
        <w:rPr>
          <w:spacing w:val="-19"/>
        </w:rPr>
        <w:t xml:space="preserve"> </w:t>
      </w:r>
      <w:r>
        <w:t>junto</w:t>
      </w:r>
      <w:r>
        <w:rPr>
          <w:spacing w:val="-19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otros</w:t>
      </w:r>
      <w:r>
        <w:rPr>
          <w:spacing w:val="-18"/>
        </w:rPr>
        <w:t xml:space="preserve"> </w:t>
      </w:r>
      <w:r>
        <w:t>regidores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posibilidad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construir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andamiaje</w:t>
      </w:r>
      <w:r>
        <w:rPr>
          <w:spacing w:val="-19"/>
        </w:rPr>
        <w:t xml:space="preserve"> </w:t>
      </w:r>
      <w:r>
        <w:t xml:space="preserve">jurídico que permitiera la construcción de lo que será el Centro de Servicios </w:t>
      </w:r>
      <w:r>
        <w:t>Vecinales (</w:t>
      </w:r>
      <w:proofErr w:type="spellStart"/>
      <w:r>
        <w:t>CESEVI</w:t>
      </w:r>
      <w:proofErr w:type="spellEnd"/>
      <w:r>
        <w:t>) considerando esta inversión privada como la única forma de hacerse de infraestructura propia sin endeudamiento.</w:t>
      </w:r>
    </w:p>
    <w:p w14:paraId="32227E19" w14:textId="77777777" w:rsidR="00E34C00" w:rsidRDefault="00E34C00">
      <w:pPr>
        <w:pStyle w:val="Textoindependiente"/>
        <w:jc w:val="both"/>
        <w:sectPr w:rsidR="00E34C00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704C5D1F" w14:textId="77777777" w:rsidR="00E34C00" w:rsidRDefault="00301243">
      <w:pPr>
        <w:pStyle w:val="Textoindependiente"/>
        <w:spacing w:before="17"/>
      </w:pPr>
      <w:r>
        <w:rPr>
          <w:noProof/>
        </w:rPr>
        <w:lastRenderedPageBreak/>
        <w:drawing>
          <wp:anchor distT="0" distB="0" distL="0" distR="0" simplePos="0" relativeHeight="487539200" behindDoc="1" locked="0" layoutInCell="1" allowOverlap="1" wp14:anchorId="2C99DD4F" wp14:editId="25CBECA7">
            <wp:simplePos x="0" y="0"/>
            <wp:positionH relativeFrom="page">
              <wp:posOffset>11432</wp:posOffset>
            </wp:positionH>
            <wp:positionV relativeFrom="page">
              <wp:posOffset>302903</wp:posOffset>
            </wp:positionV>
            <wp:extent cx="7752714" cy="96220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714" cy="962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D5883" w14:textId="77777777" w:rsidR="00E34C00" w:rsidRDefault="00301243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  <w:rPr>
          <w:sz w:val="24"/>
        </w:rPr>
      </w:pP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CIVIL</w:t>
      </w:r>
    </w:p>
    <w:p w14:paraId="7B5962F1" w14:textId="77777777" w:rsidR="00E34C00" w:rsidRDefault="00E34C00">
      <w:pPr>
        <w:pStyle w:val="Textoindependiente"/>
        <w:spacing w:before="288"/>
      </w:pPr>
    </w:p>
    <w:p w14:paraId="2F35B116" w14:textId="77777777" w:rsidR="00E34C00" w:rsidRDefault="00301243">
      <w:pPr>
        <w:pStyle w:val="Textoindependiente"/>
        <w:ind w:left="262" w:right="260" w:firstLine="359"/>
        <w:jc w:val="both"/>
      </w:pPr>
      <w:r>
        <w:t>Como regidor de Protección Civil detecté la falta de un ordenam</w:t>
      </w:r>
      <w:r>
        <w:t>iento legal que permitiera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rubro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 los ciudadanos en Oaxaca de Juárez.</w:t>
      </w:r>
    </w:p>
    <w:p w14:paraId="39D76472" w14:textId="77777777" w:rsidR="00E34C00" w:rsidRDefault="00E34C00">
      <w:pPr>
        <w:pStyle w:val="Textoindependiente"/>
      </w:pPr>
    </w:p>
    <w:p w14:paraId="17353FE2" w14:textId="77777777" w:rsidR="00E34C00" w:rsidRDefault="00301243">
      <w:pPr>
        <w:pStyle w:val="Textoindependiente"/>
        <w:spacing w:before="1"/>
        <w:ind w:left="262" w:right="262" w:firstLine="359"/>
        <w:jc w:val="both"/>
      </w:pPr>
      <w:r>
        <w:t>Inmediatamente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convocaron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sesiones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comisión</w:t>
      </w:r>
      <w:r>
        <w:rPr>
          <w:spacing w:val="-19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objeto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 xml:space="preserve">proponer cambios significativos al bando de policía y gobierno y al reglamento para darle las facultades necesarias de supervisión y sanción a la dirección de protección civil </w:t>
      </w:r>
      <w:r>
        <w:rPr>
          <w:spacing w:val="-2"/>
        </w:rPr>
        <w:t>municipal.</w:t>
      </w:r>
    </w:p>
    <w:p w14:paraId="70E08C1A" w14:textId="77777777" w:rsidR="00E34C00" w:rsidRDefault="00301243">
      <w:pPr>
        <w:pStyle w:val="Textoindependiente"/>
        <w:spacing w:before="289"/>
        <w:ind w:left="262" w:right="265" w:firstLine="359"/>
        <w:jc w:val="both"/>
      </w:pPr>
      <w:r>
        <w:t>Se llevaron a cabo reformas sustanciales al Bando de Policía y Gobierno del Municipio de Oaxaca de Juárez en materia de protección civil, fortaleciendo las atribuciones de su Dirección municipal.</w:t>
      </w:r>
    </w:p>
    <w:p w14:paraId="716BBAD4" w14:textId="77777777" w:rsidR="00E34C00" w:rsidRDefault="00E34C00">
      <w:pPr>
        <w:pStyle w:val="Textoindependiente"/>
      </w:pPr>
    </w:p>
    <w:p w14:paraId="4CEB3ABF" w14:textId="77777777" w:rsidR="00E34C00" w:rsidRDefault="00301243">
      <w:pPr>
        <w:pStyle w:val="Textoindependiente"/>
        <w:ind w:left="262" w:right="256" w:firstLine="359"/>
        <w:jc w:val="both"/>
      </w:pPr>
      <w:r>
        <w:t xml:space="preserve">En particular, el artículo 153 amplió sus facultades de 53 </w:t>
      </w:r>
      <w:r>
        <w:t>a 58, incorporando entre</w:t>
      </w:r>
      <w:r>
        <w:rPr>
          <w:spacing w:val="-21"/>
        </w:rPr>
        <w:t xml:space="preserve"> </w:t>
      </w:r>
      <w:r>
        <w:t>ellas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capacidad</w:t>
      </w:r>
      <w:r>
        <w:rPr>
          <w:spacing w:val="-18"/>
        </w:rPr>
        <w:t xml:space="preserve"> </w:t>
      </w:r>
      <w:r>
        <w:t>expresa</w:t>
      </w:r>
      <w:r>
        <w:rPr>
          <w:spacing w:val="-19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aplicar</w:t>
      </w:r>
      <w:r>
        <w:rPr>
          <w:spacing w:val="-19"/>
        </w:rPr>
        <w:t xml:space="preserve"> </w:t>
      </w:r>
      <w:r>
        <w:t>sanciones,</w:t>
      </w:r>
      <w:r>
        <w:rPr>
          <w:spacing w:val="-18"/>
        </w:rPr>
        <w:t xml:space="preserve"> </w:t>
      </w:r>
      <w:r>
        <w:t>lo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permite</w:t>
      </w:r>
      <w:r>
        <w:rPr>
          <w:spacing w:val="-19"/>
        </w:rPr>
        <w:t xml:space="preserve"> </w:t>
      </w:r>
      <w:r>
        <w:t>una</w:t>
      </w:r>
      <w:r>
        <w:rPr>
          <w:spacing w:val="-18"/>
        </w:rPr>
        <w:t xml:space="preserve"> </w:t>
      </w:r>
      <w:r>
        <w:t>actuación más eficaz en la prevención, mitigación y control de riesgos. Así mismo, se abrogó el anterior Reglamento de Protección Civil del Municipio de Oaxaca d</w:t>
      </w:r>
      <w:r>
        <w:t>e Juárez, y en su lugar entró en vigor el Reglamento de Protección Civil y Gestión Integral de Riesgos del Municipio el cual pasó de 73 a 117 artículos.</w:t>
      </w:r>
    </w:p>
    <w:p w14:paraId="7739823B" w14:textId="77777777" w:rsidR="00E34C00" w:rsidRDefault="00E34C00">
      <w:pPr>
        <w:pStyle w:val="Textoindependiente"/>
      </w:pPr>
    </w:p>
    <w:p w14:paraId="74461142" w14:textId="77777777" w:rsidR="00E34C00" w:rsidRDefault="00301243">
      <w:pPr>
        <w:pStyle w:val="Textoindependiente"/>
        <w:spacing w:before="1"/>
        <w:ind w:left="262" w:right="262" w:firstLine="359"/>
        <w:jc w:val="both"/>
      </w:pPr>
      <w:r>
        <w:t>Este nuevo ordenamiento robustece el marco jurídico municipal, amplía los procedimientos de inspección</w:t>
      </w:r>
      <w:r>
        <w:t>, verificación y sanción, y establece con mayor precisión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ciudadanía,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establecimientos</w:t>
      </w:r>
      <w:r>
        <w:rPr>
          <w:spacing w:val="-11"/>
        </w:rPr>
        <w:t xml:space="preserve"> </w:t>
      </w:r>
      <w:r>
        <w:t>comerciales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propia</w:t>
      </w:r>
      <w:r>
        <w:rPr>
          <w:spacing w:val="-3"/>
        </w:rPr>
        <w:t xml:space="preserve"> </w:t>
      </w:r>
      <w:r>
        <w:t>autoridad,</w:t>
      </w:r>
      <w:r>
        <w:rPr>
          <w:spacing w:val="-5"/>
        </w:rPr>
        <w:t xml:space="preserve"> </w:t>
      </w:r>
      <w:r>
        <w:t>fortaleciendo</w:t>
      </w:r>
      <w:r>
        <w:rPr>
          <w:spacing w:val="-5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salvaguardar</w:t>
      </w:r>
      <w:r>
        <w:rPr>
          <w:spacing w:val="-4"/>
        </w:rPr>
        <w:t xml:space="preserve"> </w:t>
      </w:r>
      <w:r>
        <w:t>la integridad de la población.</w:t>
      </w:r>
    </w:p>
    <w:p w14:paraId="3F110CAF" w14:textId="77777777" w:rsidR="00E34C00" w:rsidRDefault="00301243">
      <w:pPr>
        <w:pStyle w:val="Textoindependiente"/>
        <w:spacing w:before="289"/>
        <w:ind w:left="262" w:right="263" w:firstLine="359"/>
        <w:jc w:val="both"/>
      </w:pPr>
      <w:r>
        <w:t>La actualización del reglamento de protección civil responde a la necesidad de adecuar el marco normativo a la realidad operativa en cuanto a gestión de riesgos se refiere.</w:t>
      </w:r>
    </w:p>
    <w:p w14:paraId="0C206B39" w14:textId="77777777" w:rsidR="00E34C00" w:rsidRDefault="00E34C00">
      <w:pPr>
        <w:pStyle w:val="Textoindependiente"/>
        <w:spacing w:before="1"/>
      </w:pPr>
    </w:p>
    <w:p w14:paraId="52BE0E6C" w14:textId="77777777" w:rsidR="00E34C00" w:rsidRDefault="00301243">
      <w:pPr>
        <w:pStyle w:val="Textoindependiente"/>
        <w:ind w:left="262" w:right="263" w:firstLine="359"/>
        <w:jc w:val="both"/>
      </w:pPr>
      <w:r>
        <w:t xml:space="preserve">El nuevo reglamento armoniza sus disposiciones con </w:t>
      </w:r>
      <w:r>
        <w:t>la ley de protección civil y gestión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desastres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</w:t>
      </w:r>
      <w:r>
        <w:rPr>
          <w:spacing w:val="-3"/>
        </w:rPr>
        <w:t xml:space="preserve"> </w:t>
      </w:r>
      <w:r>
        <w:t>asegurando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ello una mejor operación para prevenirlos.</w:t>
      </w:r>
    </w:p>
    <w:p w14:paraId="603C1F39" w14:textId="77777777" w:rsidR="00E34C00" w:rsidRDefault="00E34C00">
      <w:pPr>
        <w:pStyle w:val="Textoindependiente"/>
      </w:pPr>
    </w:p>
    <w:p w14:paraId="7D86AD50" w14:textId="77777777" w:rsidR="00E34C00" w:rsidRDefault="00301243">
      <w:pPr>
        <w:pStyle w:val="Textoindependiente"/>
        <w:ind w:left="262" w:right="258" w:firstLine="359"/>
        <w:jc w:val="both"/>
      </w:pPr>
      <w:r>
        <w:t>Adicionalmente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reglamento</w:t>
      </w:r>
      <w:r>
        <w:rPr>
          <w:spacing w:val="-15"/>
        </w:rPr>
        <w:t xml:space="preserve"> </w:t>
      </w:r>
      <w:r>
        <w:t>considera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supervisión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comercio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vía</w:t>
      </w:r>
      <w:r>
        <w:rPr>
          <w:spacing w:val="-13"/>
        </w:rPr>
        <w:t xml:space="preserve"> </w:t>
      </w:r>
      <w:r>
        <w:t>pública, revisión de juegos mecán</w:t>
      </w:r>
      <w:r>
        <w:t>icos, control de quema de pirotecnia y supervisión de espectáculos públicos y eventos masivos.</w:t>
      </w:r>
    </w:p>
    <w:p w14:paraId="32B3CD93" w14:textId="77777777" w:rsidR="00E34C00" w:rsidRDefault="00E34C00">
      <w:pPr>
        <w:pStyle w:val="Textoindependiente"/>
        <w:jc w:val="both"/>
        <w:sectPr w:rsidR="00E34C00">
          <w:pgSz w:w="12240" w:h="15840"/>
          <w:pgMar w:top="1820" w:right="1440" w:bottom="280" w:left="1440" w:header="720" w:footer="720" w:gutter="0"/>
          <w:cols w:space="720"/>
        </w:sectPr>
      </w:pPr>
    </w:p>
    <w:p w14:paraId="36E24F74" w14:textId="77777777" w:rsidR="00E34C00" w:rsidRDefault="00301243">
      <w:pPr>
        <w:pStyle w:val="Textoindependiente"/>
        <w:spacing w:before="17"/>
      </w:pPr>
      <w:r>
        <w:rPr>
          <w:noProof/>
        </w:rPr>
        <w:lastRenderedPageBreak/>
        <w:drawing>
          <wp:anchor distT="0" distB="0" distL="0" distR="0" simplePos="0" relativeHeight="487539712" behindDoc="1" locked="0" layoutInCell="1" allowOverlap="1" wp14:anchorId="1B428B0D" wp14:editId="62DD3708">
            <wp:simplePos x="0" y="0"/>
            <wp:positionH relativeFrom="page">
              <wp:posOffset>11432</wp:posOffset>
            </wp:positionH>
            <wp:positionV relativeFrom="page">
              <wp:posOffset>302903</wp:posOffset>
            </wp:positionV>
            <wp:extent cx="7752714" cy="96220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714" cy="962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EE0D2" w14:textId="77777777" w:rsidR="00E34C00" w:rsidRDefault="00301243">
      <w:pPr>
        <w:pStyle w:val="Textoindependiente"/>
        <w:ind w:left="262" w:right="262" w:firstLine="359"/>
        <w:jc w:val="both"/>
      </w:pPr>
      <w:r>
        <w:t>A partir de ahora se establece con claridad las atribuciones y obligaciones de cada</w:t>
      </w:r>
      <w:r>
        <w:rPr>
          <w:spacing w:val="-8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departamentos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8"/>
        </w:rPr>
        <w:t xml:space="preserve"> </w:t>
      </w:r>
      <w:r>
        <w:t>carecían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 atribuciones específicas.</w:t>
      </w:r>
    </w:p>
    <w:p w14:paraId="0CD39D4D" w14:textId="77777777" w:rsidR="00E34C00" w:rsidRDefault="00E34C00">
      <w:pPr>
        <w:pStyle w:val="Textoindependiente"/>
      </w:pPr>
    </w:p>
    <w:p w14:paraId="2D46519D" w14:textId="77777777" w:rsidR="00E34C00" w:rsidRDefault="00301243">
      <w:pPr>
        <w:pStyle w:val="Textoindependiente"/>
        <w:ind w:left="262" w:right="262" w:firstLine="359"/>
        <w:jc w:val="both"/>
      </w:pPr>
      <w:r>
        <w:t>Se incluyó en el nuevo reglamento un apartado especial para el Consejo Municipal de Protección Civil órgano que integra a más actores sociales para una mejor gestión integral de riesgos.</w:t>
      </w:r>
    </w:p>
    <w:p w14:paraId="7DB5C82D" w14:textId="77777777" w:rsidR="00E34C00" w:rsidRDefault="00E34C00">
      <w:pPr>
        <w:pStyle w:val="Textoindependiente"/>
      </w:pPr>
    </w:p>
    <w:p w14:paraId="41CD65E0" w14:textId="77777777" w:rsidR="00E34C00" w:rsidRDefault="00301243">
      <w:pPr>
        <w:pStyle w:val="Textoindependiente"/>
        <w:spacing w:before="1"/>
        <w:ind w:left="262" w:right="259" w:firstLine="359"/>
        <w:jc w:val="both"/>
      </w:pPr>
      <w:r>
        <w:t xml:space="preserve">Se formaliza también la figura del personal verificador e inspector </w:t>
      </w:r>
      <w:r>
        <w:t>adscrito dotándolo de atribuciones jurídicas para realizar visitas, dictar medidas preventivas y aplicar sanciones, lo cual no sucedía en el pasado provocando con ello indolencia institucional que ponía en riesgo la vida de los ciudadanos.</w:t>
      </w:r>
    </w:p>
    <w:p w14:paraId="7FCA2234" w14:textId="77777777" w:rsidR="00E34C00" w:rsidRDefault="00301243">
      <w:pPr>
        <w:pStyle w:val="Textoindependiente"/>
        <w:spacing w:before="289"/>
        <w:ind w:left="262" w:right="263" w:firstLine="359"/>
        <w:jc w:val="both"/>
      </w:pPr>
      <w:r>
        <w:t xml:space="preserve">Se considera en </w:t>
      </w:r>
      <w:r>
        <w:t>este reglamento un catálogo de sanciones claras que permiten actuar frente a incumplimientos de los contribuyentes.</w:t>
      </w:r>
    </w:p>
    <w:p w14:paraId="088F314F" w14:textId="77777777" w:rsidR="00E34C00" w:rsidRDefault="00301243">
      <w:pPr>
        <w:pStyle w:val="Prrafodelista"/>
        <w:numPr>
          <w:ilvl w:val="0"/>
          <w:numId w:val="1"/>
        </w:numPr>
        <w:tabs>
          <w:tab w:val="left" w:pos="980"/>
        </w:tabs>
        <w:spacing w:before="289"/>
        <w:ind w:left="980" w:hanging="359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GESTIONA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ATLAS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RIESGOS.</w:t>
      </w:r>
    </w:p>
    <w:p w14:paraId="78636675" w14:textId="77777777" w:rsidR="00E34C00" w:rsidRDefault="00E34C00">
      <w:pPr>
        <w:pStyle w:val="Textoindependiente"/>
      </w:pPr>
    </w:p>
    <w:p w14:paraId="185E90A4" w14:textId="77777777" w:rsidR="00E34C00" w:rsidRDefault="00301243">
      <w:pPr>
        <w:pStyle w:val="Textoindependiente"/>
        <w:ind w:left="262" w:right="262" w:firstLine="359"/>
        <w:jc w:val="both"/>
      </w:pPr>
      <w:r>
        <w:t>A propuesta de un servidor se coordina ya la posibilidad de firmar un acuerdo con la Universidad Benito Ju</w:t>
      </w:r>
      <w:r>
        <w:t>árez de Oaxaca para la elaboración de un Atlas de riesgos para la Capital lo cual no tenemos desde el año 2011.</w:t>
      </w:r>
    </w:p>
    <w:p w14:paraId="7EDF9A0C" w14:textId="77777777" w:rsidR="00E34C00" w:rsidRDefault="00301243">
      <w:pPr>
        <w:pStyle w:val="Textoindependiente"/>
        <w:spacing w:before="289"/>
        <w:ind w:left="262" w:right="265" w:firstLine="359"/>
        <w:jc w:val="both"/>
      </w:pPr>
      <w:r>
        <w:t>Con el apoyo de la máxima casa de estudios del Estado se pretende dotar de manera gratuita a Oaxaca de Juárez de un instrumento que permita ataj</w:t>
      </w:r>
      <w:r>
        <w:t>ar con mayor precisión los posibles riesgos que pueda tener por fenómenos naturales y/o por accidentes la población civil.</w:t>
      </w:r>
    </w:p>
    <w:p w14:paraId="6325C095" w14:textId="77777777" w:rsidR="00E34C00" w:rsidRDefault="00E34C00">
      <w:pPr>
        <w:pStyle w:val="Textoindependiente"/>
        <w:spacing w:before="1"/>
      </w:pPr>
    </w:p>
    <w:p w14:paraId="3A5A08A5" w14:textId="77777777" w:rsidR="00E34C00" w:rsidRDefault="00301243">
      <w:pPr>
        <w:pStyle w:val="Textoindependiente"/>
        <w:ind w:left="262" w:right="264" w:firstLine="359"/>
        <w:jc w:val="both"/>
      </w:pPr>
      <w:r>
        <w:t>En atención a la solicitud de entregar un informe de nuestras actividades se realiza ésta en tiempo y forma cumpliendo con nuestra o</w:t>
      </w:r>
      <w:r>
        <w:t>bligación legal.</w:t>
      </w:r>
    </w:p>
    <w:p w14:paraId="2B0A66BA" w14:textId="77777777" w:rsidR="00E34C00" w:rsidRDefault="00E34C00">
      <w:pPr>
        <w:pStyle w:val="Textoindependiente"/>
      </w:pPr>
    </w:p>
    <w:p w14:paraId="4913BDAB" w14:textId="77777777" w:rsidR="00E34C00" w:rsidRDefault="00E34C00">
      <w:pPr>
        <w:pStyle w:val="Textoindependiente"/>
        <w:spacing w:before="1"/>
      </w:pPr>
    </w:p>
    <w:p w14:paraId="156029A2" w14:textId="77777777" w:rsidR="00E34C00" w:rsidRDefault="00301243">
      <w:pPr>
        <w:pStyle w:val="Textoindependiente"/>
        <w:ind w:left="262"/>
      </w:pPr>
      <w:r>
        <w:t>Quedo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Usted.</w:t>
      </w:r>
    </w:p>
    <w:p w14:paraId="2529DD88" w14:textId="77777777" w:rsidR="00E34C00" w:rsidRDefault="00E34C00">
      <w:pPr>
        <w:pStyle w:val="Textoindependiente"/>
        <w:spacing w:before="289"/>
      </w:pPr>
    </w:p>
    <w:p w14:paraId="52246E4A" w14:textId="77777777" w:rsidR="00E34C00" w:rsidRDefault="00301243">
      <w:pPr>
        <w:ind w:left="262"/>
        <w:rPr>
          <w:b/>
          <w:sz w:val="24"/>
        </w:rPr>
      </w:pPr>
      <w:r>
        <w:rPr>
          <w:b/>
          <w:spacing w:val="-2"/>
          <w:sz w:val="24"/>
        </w:rPr>
        <w:t>Atentamente.:</w:t>
      </w:r>
    </w:p>
    <w:p w14:paraId="5AA7FC73" w14:textId="77777777" w:rsidR="00E34C00" w:rsidRDefault="00E34C00">
      <w:pPr>
        <w:pStyle w:val="Textoindependiente"/>
        <w:rPr>
          <w:b/>
        </w:rPr>
      </w:pPr>
    </w:p>
    <w:p w14:paraId="798CB35F" w14:textId="77777777" w:rsidR="00E34C00" w:rsidRDefault="00E34C00">
      <w:pPr>
        <w:pStyle w:val="Textoindependiente"/>
        <w:rPr>
          <w:b/>
        </w:rPr>
      </w:pPr>
    </w:p>
    <w:p w14:paraId="25CA3D6C" w14:textId="77777777" w:rsidR="00E34C00" w:rsidRDefault="00E34C00">
      <w:pPr>
        <w:pStyle w:val="Textoindependiente"/>
        <w:rPr>
          <w:b/>
        </w:rPr>
      </w:pPr>
    </w:p>
    <w:p w14:paraId="5AA32017" w14:textId="77777777" w:rsidR="00E34C00" w:rsidRDefault="00301243">
      <w:pPr>
        <w:spacing w:before="1"/>
        <w:ind w:left="262" w:right="4188"/>
        <w:rPr>
          <w:b/>
          <w:sz w:val="24"/>
        </w:rPr>
      </w:pPr>
      <w:r>
        <w:rPr>
          <w:b/>
          <w:sz w:val="24"/>
        </w:rPr>
        <w:t>Lic.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Héctor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Pablo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Ramírez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Leyva Regidor de Protección Civil.</w:t>
      </w:r>
    </w:p>
    <w:sectPr w:rsidR="00E34C00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02A29"/>
    <w:multiLevelType w:val="hybridMultilevel"/>
    <w:tmpl w:val="2C202C0C"/>
    <w:lvl w:ilvl="0" w:tplc="FFFFFFFF">
      <w:numFmt w:val="bullet"/>
      <w:lvlText w:val="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00"/>
    <w:rsid w:val="00301243"/>
    <w:rsid w:val="00E3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DAE4"/>
  <w15:docId w15:val="{F00CAA52-4B40-4930-8392-B8F193E7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 Social</dc:creator>
  <cp:lastModifiedBy>secretaria municipal 2022</cp:lastModifiedBy>
  <cp:revision>2</cp:revision>
  <dcterms:created xsi:type="dcterms:W3CDTF">2026-01-09T23:58:00Z</dcterms:created>
  <dcterms:modified xsi:type="dcterms:W3CDTF">2026-01-09T23:58:00Z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LTSC</vt:lpwstr>
  </property>
</Properties>
</file>